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color w:val="auto"/>
          <w:sz w:val="28"/>
          <w:szCs w:val="28"/>
          <w:highlight w:val="none"/>
        </w:rPr>
      </w:pPr>
    </w:p>
    <w:p>
      <w:pPr>
        <w:spacing w:line="360" w:lineRule="auto"/>
        <w:jc w:val="center"/>
        <w:rPr>
          <w:rFonts w:ascii="宋体" w:hAnsi="宋体"/>
          <w:b/>
          <w:color w:val="auto"/>
          <w:sz w:val="72"/>
          <w:szCs w:val="72"/>
          <w:highlight w:val="none"/>
        </w:rPr>
      </w:pP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lang w:eastAsia="zh-CN"/>
        </w:rPr>
        <w:t>福建省女子监狱</w:t>
      </w:r>
      <w:r>
        <w:rPr>
          <w:rFonts w:hint="eastAsia" w:ascii="宋体" w:hAnsi="宋体"/>
          <w:b/>
          <w:color w:val="auto"/>
          <w:sz w:val="72"/>
          <w:szCs w:val="72"/>
          <w:highlight w:val="none"/>
        </w:rPr>
        <w:t xml:space="preserve"> </w:t>
      </w:r>
    </w:p>
    <w:p>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pPr>
        <w:pStyle w:val="11"/>
        <w:spacing w:line="0" w:lineRule="atLeast"/>
        <w:rPr>
          <w:rFonts w:hAnsi="宋体"/>
          <w:b/>
          <w:color w:val="auto"/>
          <w:sz w:val="32"/>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0" w:lineRule="atLeast"/>
        <w:jc w:val="center"/>
        <w:rPr>
          <w:rFonts w:hAnsi="宋体"/>
          <w:b/>
          <w:color w:val="auto"/>
          <w:sz w:val="36"/>
          <w:highlight w:val="none"/>
        </w:rPr>
      </w:pPr>
    </w:p>
    <w:p>
      <w:pPr>
        <w:pStyle w:val="11"/>
        <w:spacing w:line="400" w:lineRule="exact"/>
        <w:rPr>
          <w:rFonts w:hAnsi="宋体"/>
          <w:b/>
          <w:color w:val="auto"/>
          <w:sz w:val="36"/>
          <w:highlight w:val="none"/>
        </w:rPr>
      </w:pPr>
    </w:p>
    <w:p>
      <w:pPr>
        <w:pStyle w:val="11"/>
        <w:spacing w:line="640" w:lineRule="exact"/>
        <w:ind w:firstLine="1285" w:firstLineChars="40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FJKZB-636032024</w:t>
      </w:r>
    </w:p>
    <w:p>
      <w:pPr>
        <w:pStyle w:val="11"/>
        <w:spacing w:line="640" w:lineRule="exact"/>
        <w:ind w:left="2883" w:leftChars="608" w:hanging="1606" w:hangingChars="500"/>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防暑降温药品配送服务项目</w:t>
      </w:r>
    </w:p>
    <w:p>
      <w:pPr>
        <w:pStyle w:val="11"/>
        <w:spacing w:line="640" w:lineRule="exact"/>
        <w:ind w:firstLine="1285" w:firstLineChars="400"/>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福建省女子监狱</w:t>
      </w:r>
      <w:r>
        <w:rPr>
          <w:rFonts w:hint="eastAsia" w:hAnsi="宋体"/>
          <w:b/>
          <w:color w:val="auto"/>
          <w:sz w:val="32"/>
          <w:szCs w:val="32"/>
          <w:highlight w:val="none"/>
        </w:rPr>
        <w:t xml:space="preserve">   </w:t>
      </w:r>
    </w:p>
    <w:p>
      <w:pPr>
        <w:spacing w:line="500" w:lineRule="exact"/>
        <w:rPr>
          <w:rFonts w:ascii="宋体" w:hAnsi="宋体"/>
          <w:b/>
          <w:color w:val="auto"/>
          <w:sz w:val="48"/>
          <w:highlight w:val="none"/>
        </w:rPr>
      </w:pPr>
    </w:p>
    <w:p>
      <w:pPr>
        <w:pStyle w:val="5"/>
        <w:rPr>
          <w:rFonts w:hint="default"/>
          <w:color w:val="auto"/>
          <w:sz w:val="48"/>
          <w:highlight w:val="none"/>
        </w:rPr>
      </w:pPr>
    </w:p>
    <w:p>
      <w:pPr>
        <w:rPr>
          <w:color w:val="auto"/>
          <w:highlight w:val="none"/>
        </w:rPr>
      </w:pP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四</w:t>
      </w:r>
      <w:r>
        <w:rPr>
          <w:rFonts w:hint="eastAsia" w:ascii="宋体" w:hAnsi="宋体"/>
          <w:b/>
          <w:color w:val="auto"/>
          <w:sz w:val="32"/>
          <w:szCs w:val="32"/>
          <w:highlight w:val="none"/>
        </w:rPr>
        <w:t>月</w:t>
      </w:r>
    </w:p>
    <w:p>
      <w:pPr>
        <w:pStyle w:val="9"/>
        <w:rPr>
          <w:rFonts w:ascii="宋体" w:hAnsi="宋体"/>
          <w:color w:val="auto"/>
          <w:highlight w:val="none"/>
        </w:rPr>
      </w:pPr>
    </w:p>
    <w:p>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color w:val="auto"/>
          <w:kern w:val="0"/>
          <w:sz w:val="24"/>
          <w:highlight w:val="none"/>
          <w:u w:val="single"/>
          <w:lang w:eastAsia="zh-CN"/>
        </w:rPr>
        <w:t xml:space="preserve"> 防暑降温药品配送服务项目</w:t>
      </w:r>
      <w:r>
        <w:rPr>
          <w:rFonts w:hint="eastAsia" w:ascii="宋体" w:hAnsi="宋体" w:cs="宋体"/>
          <w:color w:val="auto"/>
          <w:kern w:val="0"/>
          <w:sz w:val="24"/>
          <w:highlight w:val="none"/>
        </w:rPr>
        <w:t>的成交供应商。现邀请合格的供应商对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FJKZB-636032024</w:t>
      </w:r>
    </w:p>
    <w:p>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highlight w:val="none"/>
          <w:lang w:eastAsia="zh-CN"/>
        </w:rPr>
        <w:t>防暑降温药品配送服务项目</w:t>
      </w:r>
    </w:p>
    <w:p>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pPr>
        <w:pStyle w:val="16"/>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08</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09</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 xml:space="preserve">  11</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0:00</w:t>
      </w:r>
    </w:p>
    <w:p>
      <w:pPr>
        <w:spacing w:line="360" w:lineRule="auto"/>
        <w:ind w:firstLine="482" w:firstLineChars="200"/>
        <w:rPr>
          <w:rFonts w:ascii="宋体" w:hAnsi="宋体"/>
          <w:b/>
          <w:bCs/>
          <w:color w:val="auto"/>
          <w:sz w:val="24"/>
          <w:highlight w:val="none"/>
        </w:rPr>
      </w:pPr>
      <w:bookmarkStart w:id="0" w:name="_Toc21403"/>
      <w:r>
        <w:rPr>
          <w:rFonts w:hint="eastAsia" w:ascii="宋体" w:hAnsi="宋体"/>
          <w:b/>
          <w:bCs/>
          <w:color w:val="auto"/>
          <w:sz w:val="24"/>
          <w:highlight w:val="none"/>
        </w:rPr>
        <w:t>5.供应商资格要求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pPr>
        <w:pStyle w:val="28"/>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pPr>
        <w:spacing w:line="360" w:lineRule="auto"/>
        <w:ind w:firstLine="481"/>
        <w:rPr>
          <w:rFonts w:hint="eastAsia" w:ascii="Times New Roman" w:hAnsi="Times New Roman" w:eastAsia="宋体"/>
          <w:color w:val="auto"/>
          <w:sz w:val="24"/>
          <w:highlight w:val="none"/>
          <w:lang w:eastAsia="zh-CN"/>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须具备合格有效的《</w:t>
      </w:r>
      <w:r>
        <w:rPr>
          <w:rFonts w:hint="eastAsia" w:ascii="宋体" w:hAnsi="宋体" w:cs="宋体"/>
          <w:color w:val="auto"/>
          <w:sz w:val="24"/>
          <w:szCs w:val="24"/>
          <w:highlight w:val="none"/>
          <w:lang w:eastAsia="zh-CN"/>
        </w:rPr>
        <w:t>药品</w:t>
      </w:r>
      <w:r>
        <w:rPr>
          <w:rFonts w:ascii="宋体" w:hAnsi="宋体" w:eastAsia="宋体" w:cs="宋体"/>
          <w:color w:val="auto"/>
          <w:sz w:val="24"/>
          <w:szCs w:val="24"/>
          <w:highlight w:val="none"/>
        </w:rPr>
        <w:t>经营许可证》或《食品药品经营许可证》或《食品药品生产经营许可证》，须提供相关证件复印件。在截止时间前，如因国家政策调整，国家有关行政部门有颁发新的食品方面许可证书的，应从其规定，</w:t>
      </w:r>
      <w:r>
        <w:rPr>
          <w:rFonts w:hint="eastAsia" w:ascii="宋体" w:hAnsi="宋体" w:eastAsia="宋体" w:cs="宋体"/>
          <w:color w:val="auto"/>
          <w:sz w:val="24"/>
          <w:szCs w:val="24"/>
          <w:highlight w:val="none"/>
          <w:lang w:eastAsia="zh-CN"/>
        </w:rPr>
        <w:t>供应商</w:t>
      </w:r>
      <w:r>
        <w:rPr>
          <w:rFonts w:ascii="宋体" w:hAnsi="宋体" w:eastAsia="宋体" w:cs="宋体"/>
          <w:color w:val="auto"/>
          <w:sz w:val="24"/>
          <w:szCs w:val="24"/>
          <w:highlight w:val="none"/>
        </w:rPr>
        <w:t>须在</w:t>
      </w:r>
      <w:r>
        <w:rPr>
          <w:rFonts w:hint="eastAsia" w:ascii="宋体" w:hAnsi="宋体" w:eastAsia="宋体" w:cs="宋体"/>
          <w:color w:val="auto"/>
          <w:sz w:val="24"/>
          <w:szCs w:val="24"/>
          <w:highlight w:val="none"/>
          <w:lang w:eastAsia="zh-CN"/>
        </w:rPr>
        <w:t>响应</w:t>
      </w:r>
      <w:r>
        <w:rPr>
          <w:rFonts w:ascii="宋体" w:hAnsi="宋体" w:eastAsia="宋体" w:cs="宋体"/>
          <w:color w:val="auto"/>
          <w:sz w:val="24"/>
          <w:szCs w:val="24"/>
          <w:highlight w:val="none"/>
        </w:rPr>
        <w:t>文件中做出书面说明</w:t>
      </w:r>
      <w:r>
        <w:rPr>
          <w:rFonts w:hint="eastAsia" w:ascii="Times New Roman" w:hAnsi="Times New Roman"/>
          <w:color w:val="auto"/>
          <w:sz w:val="24"/>
          <w:highlight w:val="none"/>
        </w:rPr>
        <w:t>。</w:t>
      </w:r>
    </w:p>
    <w:p>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w:t>
      </w:r>
      <w:r>
        <w:rPr>
          <w:rFonts w:hint="eastAsia" w:ascii="宋体" w:hAnsi="宋体"/>
          <w:color w:val="auto"/>
          <w:sz w:val="24"/>
          <w:highlight w:val="none"/>
          <w:lang w:val="en-US" w:eastAsia="zh-CN"/>
        </w:rPr>
        <w:t xml:space="preserve">                   </w:t>
      </w:r>
      <w:r>
        <w:rPr>
          <w:rFonts w:hint="eastAsia" w:ascii="宋体" w:hAnsi="宋体"/>
          <w:color w:val="auto"/>
          <w:sz w:val="24"/>
          <w:highlight w:val="none"/>
        </w:rPr>
        <w:t>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pPr>
        <w:widowControl/>
        <w:shd w:val="clear" w:color="auto" w:fill="FFFFFF"/>
        <w:spacing w:line="360" w:lineRule="auto"/>
        <w:ind w:firstLine="480" w:firstLineChars="200"/>
        <w:jc w:val="left"/>
        <w:rPr>
          <w:rStyle w:val="29"/>
          <w:color w:val="auto"/>
          <w:highlight w:val="none"/>
        </w:rPr>
      </w:pPr>
      <w:r>
        <w:rPr>
          <w:rStyle w:val="29"/>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2900</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w:t>
      </w:r>
      <w:r>
        <w:rPr>
          <w:rFonts w:hint="eastAsia" w:ascii="宋体" w:hAnsi="宋体" w:cs="宋体"/>
          <w:color w:val="auto"/>
          <w:sz w:val="24"/>
          <w:highlight w:val="none"/>
          <w:lang w:eastAsia="zh-CN"/>
        </w:rPr>
        <w:t>预算</w:t>
      </w:r>
      <w:r>
        <w:rPr>
          <w:rFonts w:hint="eastAsia" w:ascii="宋体" w:hAnsi="宋体" w:cs="宋体"/>
          <w:color w:val="auto"/>
          <w:sz w:val="24"/>
          <w:highlight w:val="none"/>
        </w:rPr>
        <w:t>金额的差额定率累进法计算后，</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收取。</w:t>
      </w:r>
      <w:r>
        <w:rPr>
          <w:rFonts w:hint="eastAsia" w:ascii="宋体" w:hAnsi="宋体" w:cs="宋体"/>
          <w:color w:val="auto"/>
          <w:sz w:val="24"/>
          <w:highlight w:val="none"/>
          <w:lang w:eastAsia="zh-CN"/>
        </w:rPr>
        <w:t>成交供应商</w:t>
      </w:r>
      <w:r>
        <w:rPr>
          <w:rFonts w:hint="eastAsia" w:ascii="宋体" w:hAnsi="宋体" w:cs="宋体"/>
          <w:color w:val="auto"/>
          <w:sz w:val="24"/>
          <w:highlight w:val="none"/>
        </w:rPr>
        <w:t>应在领取成交通知书的同时以现金、</w:t>
      </w:r>
      <w:r>
        <w:rPr>
          <w:rFonts w:hint="eastAsia" w:ascii="宋体" w:hAnsi="宋体" w:cs="宋体"/>
          <w:color w:val="auto"/>
          <w:sz w:val="24"/>
          <w:highlight w:val="none"/>
          <w:lang w:eastAsia="zh-CN"/>
        </w:rPr>
        <w:t>转账</w:t>
      </w:r>
      <w:r>
        <w:rPr>
          <w:rFonts w:hint="eastAsia" w:ascii="宋体" w:hAnsi="宋体" w:cs="宋体"/>
          <w:color w:val="auto"/>
          <w:sz w:val="24"/>
          <w:highlight w:val="none"/>
        </w:rPr>
        <w:t>、电汇付款方式一次性向代理机构缴纳采购代理服务费。服务费比率1％。服务费汇入账户：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福建省女子监狱</w:t>
      </w:r>
    </w:p>
    <w:p>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址：福州市闽侯县南屿镇新南大道156号</w:t>
      </w:r>
      <w:r>
        <w:rPr>
          <w:rFonts w:hint="eastAsia" w:asciiTheme="minorEastAsia" w:hAnsiTheme="minorEastAsia" w:eastAsiaTheme="minorEastAsia" w:cstheme="minorEastAsia"/>
          <w:color w:val="auto"/>
          <w:sz w:val="24"/>
          <w:szCs w:val="24"/>
          <w:highlight w:val="none"/>
        </w:rPr>
        <w:t>　</w:t>
      </w:r>
    </w:p>
    <w:p>
      <w:pPr>
        <w:spacing w:line="360" w:lineRule="auto"/>
        <w:ind w:firstLine="480" w:firstLineChars="200"/>
        <w:rPr>
          <w:rFonts w:hint="default" w:ascii="宋体" w:hAnsi="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eastAsia="zh-CN"/>
        </w:rPr>
        <w:t>翁</w:t>
      </w:r>
      <w:r>
        <w:rPr>
          <w:rFonts w:hint="eastAsia" w:ascii="宋体" w:hAnsi="宋体" w:cs="宋体"/>
          <w:color w:val="auto"/>
          <w:sz w:val="24"/>
          <w:highlight w:val="none"/>
        </w:rPr>
        <w:t>警官</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0591-23506025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项目负责人：</w:t>
      </w:r>
      <w:r>
        <w:rPr>
          <w:rFonts w:hint="eastAsia" w:ascii="宋体" w:hAnsi="宋体"/>
          <w:color w:val="auto"/>
          <w:sz w:val="24"/>
          <w:highlight w:val="none"/>
        </w:rPr>
        <w:t>田雪丽、欧文浩、黄建宁</w:t>
      </w:r>
      <w:bookmarkStart w:id="20" w:name="_GoBack"/>
      <w:bookmarkEnd w:id="2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pPr>
        <w:pStyle w:val="4"/>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pPr>
        <w:spacing w:line="360" w:lineRule="auto"/>
        <w:rPr>
          <w:color w:val="auto"/>
          <w:highlight w:val="none"/>
        </w:rPr>
      </w:pPr>
    </w:p>
    <w:p>
      <w:pPr>
        <w:spacing w:line="360" w:lineRule="auto"/>
        <w:rPr>
          <w:color w:val="auto"/>
          <w:highlight w:val="none"/>
        </w:rPr>
      </w:pPr>
      <w:r>
        <w:rPr>
          <w:color w:val="auto"/>
          <w:highlight w:val="none"/>
        </w:rPr>
        <w:br w:type="page"/>
      </w:r>
    </w:p>
    <w:p>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29"/>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p>
    <w:p>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9"/>
          <w:rFonts w:ascii="宋体" w:hAnsi="宋体"/>
          <w:b/>
          <w:bCs/>
          <w:color w:val="auto"/>
          <w:kern w:val="0"/>
          <w:sz w:val="24"/>
          <w:highlight w:val="none"/>
        </w:rPr>
      </w:pPr>
      <w:r>
        <w:rPr>
          <w:rStyle w:val="29"/>
          <w:rFonts w:hint="eastAsia" w:ascii="宋体" w:hAnsi="宋体"/>
          <w:b/>
          <w:bCs/>
          <w:color w:val="auto"/>
          <w:kern w:val="0"/>
          <w:sz w:val="24"/>
          <w:highlight w:val="none"/>
        </w:rPr>
        <w:t>二、报名须知</w:t>
      </w:r>
    </w:p>
    <w:p>
      <w:pPr>
        <w:widowControl/>
        <w:spacing w:line="360" w:lineRule="auto"/>
        <w:ind w:firstLine="480" w:firstLineChars="200"/>
        <w:jc w:val="left"/>
        <w:rPr>
          <w:rStyle w:val="29"/>
          <w:rFonts w:ascii="宋体" w:hAnsi="宋体" w:cs="宋体"/>
          <w:color w:val="auto"/>
          <w:kern w:val="0"/>
          <w:sz w:val="24"/>
          <w:highlight w:val="none"/>
        </w:rPr>
      </w:pPr>
      <w:r>
        <w:rPr>
          <w:rStyle w:val="29"/>
          <w:rFonts w:hint="eastAsia" w:ascii="宋体" w:hAnsi="宋体" w:cs="宋体"/>
          <w:color w:val="auto"/>
          <w:kern w:val="0"/>
          <w:sz w:val="24"/>
          <w:highlight w:val="none"/>
        </w:rPr>
        <w:t>1.供应商应在网上竞价平台（网址：</w:t>
      </w:r>
      <w:r>
        <w:rPr>
          <w:rFonts w:ascii="宋体" w:hAnsi="宋体" w:cs="宋体"/>
          <w:color w:val="auto"/>
          <w:sz w:val="24"/>
          <w:highlight w:val="none"/>
        </w:rPr>
        <w:fldChar w:fldCharType="begin"/>
      </w:r>
      <w:r>
        <w:rPr>
          <w:rFonts w:ascii="宋体" w:hAnsi="宋体" w:cs="宋体"/>
          <w:color w:val="auto"/>
          <w:sz w:val="24"/>
          <w:highlight w:val="none"/>
        </w:rPr>
        <w:instrText xml:space="preserve"> HYPERLINK "http://121.42.9.114:8083/"</w:instrText>
      </w:r>
      <w:r>
        <w:rPr>
          <w:rFonts w:ascii="宋体" w:hAnsi="宋体" w:cs="宋体"/>
          <w:color w:val="auto"/>
          <w:sz w:val="24"/>
          <w:highlight w:val="none"/>
        </w:rPr>
        <w:fldChar w:fldCharType="separate"/>
      </w:r>
      <w:r>
        <w:rPr>
          <w:rStyle w:val="24"/>
          <w:rFonts w:ascii="宋体" w:hAnsi="宋体" w:cs="宋体"/>
          <w:color w:val="auto"/>
          <w:sz w:val="24"/>
          <w:highlight w:val="none"/>
        </w:rPr>
        <w:t>http://121.42.9.114:8083/</w:t>
      </w:r>
      <w:r>
        <w:rPr>
          <w:rFonts w:ascii="宋体" w:hAnsi="宋体" w:cs="宋体"/>
          <w:color w:val="auto"/>
          <w:sz w:val="24"/>
          <w:highlight w:val="none"/>
        </w:rPr>
        <w:fldChar w:fldCharType="end"/>
      </w:r>
      <w:r>
        <w:rPr>
          <w:rStyle w:val="29"/>
          <w:rFonts w:hint="eastAsia" w:ascii="宋体" w:hAnsi="宋体" w:cs="宋体"/>
          <w:color w:val="auto"/>
          <w:kern w:val="0"/>
          <w:sz w:val="24"/>
          <w:highlight w:val="none"/>
        </w:rPr>
        <w:t>）上进行注册、报名（上传响应文件）、网上竞价等相关操作，具体操作指南详见网上竞价平台（网址：</w:t>
      </w:r>
      <w:r>
        <w:rPr>
          <w:rStyle w:val="29"/>
          <w:rFonts w:hint="eastAsia" w:ascii="宋体" w:hAnsi="宋体" w:cs="宋体"/>
          <w:color w:val="auto"/>
          <w:kern w:val="0"/>
          <w:sz w:val="24"/>
          <w:highlight w:val="none"/>
          <w:u w:val="single"/>
        </w:rPr>
        <w:fldChar w:fldCharType="begin"/>
      </w:r>
      <w:r>
        <w:rPr>
          <w:rStyle w:val="29"/>
          <w:rFonts w:hint="eastAsia" w:ascii="宋体" w:hAnsi="宋体" w:cs="宋体"/>
          <w:color w:val="auto"/>
          <w:kern w:val="0"/>
          <w:sz w:val="24"/>
          <w:highlight w:val="none"/>
          <w:u w:val="single"/>
        </w:rPr>
        <w:instrText xml:space="preserve"> HYPERLINK "https://www.jiankunzx.com/yewuliucheng/1503.html" </w:instrText>
      </w:r>
      <w:r>
        <w:rPr>
          <w:rStyle w:val="29"/>
          <w:rFonts w:hint="eastAsia" w:ascii="宋体" w:hAnsi="宋体" w:cs="宋体"/>
          <w:color w:val="auto"/>
          <w:kern w:val="0"/>
          <w:sz w:val="24"/>
          <w:highlight w:val="none"/>
          <w:u w:val="single"/>
        </w:rPr>
        <w:fldChar w:fldCharType="separate"/>
      </w:r>
      <w:r>
        <w:rPr>
          <w:rStyle w:val="29"/>
          <w:rFonts w:hint="eastAsia" w:ascii="宋体" w:hAnsi="宋体" w:cs="宋体"/>
          <w:color w:val="auto"/>
          <w:kern w:val="0"/>
          <w:sz w:val="24"/>
          <w:highlight w:val="none"/>
          <w:u w:val="single"/>
        </w:rPr>
        <w:t>https://www.jiankunzx.com/yewuliucheng/1503.html</w:t>
      </w:r>
      <w:r>
        <w:rPr>
          <w:rStyle w:val="29"/>
          <w:rFonts w:hint="eastAsia" w:ascii="宋体" w:hAnsi="宋体" w:cs="宋体"/>
          <w:color w:val="auto"/>
          <w:kern w:val="0"/>
          <w:sz w:val="24"/>
          <w:highlight w:val="none"/>
          <w:u w:val="single"/>
        </w:rPr>
        <w:fldChar w:fldCharType="end"/>
      </w:r>
      <w:r>
        <w:rPr>
          <w:rStyle w:val="29"/>
          <w:rFonts w:hint="eastAsia" w:ascii="宋体" w:hAnsi="宋体" w:cs="宋体"/>
          <w:color w:val="auto"/>
          <w:kern w:val="0"/>
          <w:sz w:val="24"/>
          <w:highlight w:val="none"/>
        </w:rPr>
        <w:t>）</w:t>
      </w:r>
      <w:r>
        <w:rPr>
          <w:rStyle w:val="29"/>
          <w:rFonts w:hint="eastAsia" w:ascii="宋体" w:hAnsi="宋体" w:cs="宋体"/>
          <w:b/>
          <w:bCs/>
          <w:color w:val="auto"/>
          <w:kern w:val="0"/>
          <w:sz w:val="24"/>
          <w:highlight w:val="none"/>
        </w:rPr>
        <w:t>。</w:t>
      </w:r>
      <w:r>
        <w:rPr>
          <w:rStyle w:val="29"/>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29"/>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29"/>
          <w:rFonts w:ascii="Times New Roman" w:hAnsi="Times New Roman" w:cs="Times New Roman"/>
          <w:b/>
          <w:bCs/>
          <w:color w:val="auto"/>
          <w:sz w:val="24"/>
          <w:highlight w:val="none"/>
        </w:rPr>
      </w:pPr>
      <w:r>
        <w:rPr>
          <w:rFonts w:hint="eastAsia"/>
          <w:color w:val="auto"/>
          <w:highlight w:val="none"/>
        </w:rPr>
        <w:t>3.</w:t>
      </w:r>
      <w:r>
        <w:rPr>
          <w:rStyle w:val="29"/>
          <w:rFonts w:hint="eastAsia"/>
          <w:color w:val="auto"/>
          <w:sz w:val="24"/>
          <w:highlight w:val="none"/>
        </w:rPr>
        <w:t>供应商提交的响应文件符合网上竞价文件要求的（即不存在网上竞价文件中规定的无效响应情形的）方可在网上竞价时间内参与竞价</w:t>
      </w:r>
      <w:r>
        <w:rPr>
          <w:rStyle w:val="29"/>
          <w:color w:val="auto"/>
          <w:sz w:val="24"/>
          <w:highlight w:val="none"/>
        </w:rPr>
        <w:t>。</w:t>
      </w:r>
      <w:r>
        <w:rPr>
          <w:rStyle w:val="29"/>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29"/>
          <w:rFonts w:ascii="Times New Roman" w:hAnsi="Times New Roman" w:cs="Times New Roman"/>
          <w:color w:val="auto"/>
          <w:highlight w:val="none"/>
        </w:rPr>
        <w:t>力</w:t>
      </w:r>
      <w:r>
        <w:rPr>
          <w:rStyle w:val="29"/>
          <w:rFonts w:hint="eastAsia" w:ascii="Times New Roman" w:hAnsi="Times New Roman" w:cs="Times New Roman"/>
          <w:color w:val="auto"/>
          <w:sz w:val="24"/>
          <w:highlight w:val="none"/>
        </w:rPr>
        <w:t>。</w:t>
      </w:r>
      <w:r>
        <w:rPr>
          <w:rStyle w:val="29"/>
          <w:rFonts w:hint="eastAsia" w:ascii="Times New Roman" w:hAnsi="Times New Roman" w:cs="Times New Roman"/>
          <w:b/>
          <w:bCs/>
          <w:color w:val="auto"/>
          <w:sz w:val="24"/>
          <w:highlight w:val="none"/>
        </w:rPr>
        <w:t>若合格供应商数量不足三家的（除“</w:t>
      </w:r>
      <w:r>
        <w:rPr>
          <w:rStyle w:val="29"/>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color w:val="auto"/>
          <w:sz w:val="24"/>
          <w:highlight w:val="none"/>
        </w:rPr>
        <w:t>”情形外），</w:t>
      </w:r>
      <w:r>
        <w:rPr>
          <w:rStyle w:val="29"/>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pPr>
        <w:spacing w:line="360" w:lineRule="auto"/>
        <w:ind w:firstLine="482" w:firstLineChars="200"/>
        <w:rPr>
          <w:rFonts w:ascii="宋体" w:hAnsi="宋体" w:cs="宋体"/>
          <w:b/>
          <w:bCs/>
          <w:color w:val="auto"/>
          <w:kern w:val="0"/>
          <w:sz w:val="24"/>
          <w:highlight w:val="none"/>
        </w:rPr>
      </w:pPr>
      <w:r>
        <w:rPr>
          <w:rStyle w:val="29"/>
          <w:rFonts w:hint="eastAsia" w:ascii="宋体" w:hAnsi="宋体"/>
          <w:b/>
          <w:bCs/>
          <w:color w:val="auto"/>
          <w:kern w:val="0"/>
          <w:sz w:val="24"/>
          <w:highlight w:val="none"/>
        </w:rPr>
        <w:t>三、网上</w:t>
      </w:r>
      <w:r>
        <w:rPr>
          <w:rStyle w:val="29"/>
          <w:rFonts w:ascii="宋体" w:hAnsi="宋体"/>
          <w:b/>
          <w:bCs/>
          <w:color w:val="auto"/>
          <w:kern w:val="0"/>
          <w:sz w:val="24"/>
          <w:highlight w:val="none"/>
        </w:rPr>
        <w:t>竞价规则</w:t>
      </w:r>
    </w:p>
    <w:p>
      <w:pPr>
        <w:pStyle w:val="16"/>
        <w:spacing w:before="75" w:beforeAutospacing="0" w:after="75" w:afterAutospacing="0" w:line="360" w:lineRule="auto"/>
        <w:ind w:firstLine="480"/>
        <w:rPr>
          <w:rStyle w:val="29"/>
          <w:color w:val="auto"/>
          <w:kern w:val="0"/>
          <w:sz w:val="24"/>
          <w:highlight w:val="none"/>
        </w:rPr>
      </w:pPr>
      <w:r>
        <w:rPr>
          <w:rFonts w:hint="eastAsia"/>
          <w:color w:val="auto"/>
          <w:highlight w:val="none"/>
        </w:rPr>
        <w:t>1.</w:t>
      </w:r>
      <w:r>
        <w:rPr>
          <w:rStyle w:val="29"/>
          <w:color w:val="auto"/>
          <w:kern w:val="0"/>
          <w:sz w:val="24"/>
          <w:highlight w:val="none"/>
        </w:rPr>
        <w:t>网上竞价的报价时限为</w:t>
      </w:r>
      <w:r>
        <w:rPr>
          <w:rStyle w:val="29"/>
          <w:rFonts w:hint="eastAsia"/>
          <w:color w:val="auto"/>
          <w:kern w:val="0"/>
          <w:sz w:val="24"/>
          <w:highlight w:val="none"/>
        </w:rPr>
        <w:t>网上竞价开始时间起至网上竞价截止时间止，在此期间内</w:t>
      </w:r>
      <w:r>
        <w:rPr>
          <w:rStyle w:val="29"/>
          <w:color w:val="auto"/>
          <w:kern w:val="0"/>
          <w:sz w:val="24"/>
          <w:highlight w:val="none"/>
        </w:rPr>
        <w:t>，报名审核</w:t>
      </w:r>
      <w:r>
        <w:rPr>
          <w:rStyle w:val="29"/>
          <w:rFonts w:hint="eastAsia"/>
          <w:color w:val="auto"/>
          <w:kern w:val="0"/>
          <w:sz w:val="24"/>
          <w:highlight w:val="none"/>
        </w:rPr>
        <w:t>通过</w:t>
      </w:r>
      <w:r>
        <w:rPr>
          <w:rStyle w:val="29"/>
          <w:color w:val="auto"/>
          <w:kern w:val="0"/>
          <w:sz w:val="24"/>
          <w:highlight w:val="none"/>
        </w:rPr>
        <w:t>的</w:t>
      </w:r>
      <w:r>
        <w:rPr>
          <w:rStyle w:val="29"/>
          <w:rFonts w:hint="eastAsia"/>
          <w:color w:val="auto"/>
          <w:kern w:val="0"/>
          <w:sz w:val="24"/>
          <w:highlight w:val="none"/>
        </w:rPr>
        <w:t>供应商</w:t>
      </w:r>
      <w:r>
        <w:rPr>
          <w:rStyle w:val="29"/>
          <w:color w:val="auto"/>
          <w:kern w:val="0"/>
          <w:sz w:val="24"/>
          <w:highlight w:val="none"/>
        </w:rPr>
        <w:t>可通过</w:t>
      </w:r>
      <w:r>
        <w:rPr>
          <w:rStyle w:val="29"/>
          <w:rFonts w:hint="eastAsia"/>
          <w:color w:val="auto"/>
          <w:kern w:val="0"/>
          <w:sz w:val="24"/>
          <w:highlight w:val="none"/>
        </w:rPr>
        <w:t>网上竞价平台</w:t>
      </w:r>
      <w:r>
        <w:rPr>
          <w:rStyle w:val="29"/>
          <w:color w:val="auto"/>
          <w:kern w:val="0"/>
          <w:sz w:val="24"/>
          <w:highlight w:val="none"/>
        </w:rPr>
        <w:t>参与</w:t>
      </w:r>
      <w:r>
        <w:rPr>
          <w:rStyle w:val="29"/>
          <w:rFonts w:hint="eastAsia"/>
          <w:color w:val="auto"/>
          <w:kern w:val="0"/>
          <w:sz w:val="24"/>
          <w:highlight w:val="none"/>
        </w:rPr>
        <w:t>网上</w:t>
      </w:r>
      <w:r>
        <w:rPr>
          <w:rStyle w:val="29"/>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29"/>
          <w:rFonts w:hint="eastAsia" w:ascii="Times New Roman" w:hAnsi="Times New Roman" w:cs="Times New Roman"/>
          <w:b/>
          <w:bCs/>
          <w:color w:val="auto"/>
          <w:sz w:val="24"/>
          <w:highlight w:val="none"/>
        </w:rPr>
        <w:t>（除“</w:t>
      </w:r>
      <w:r>
        <w:rPr>
          <w:rStyle w:val="29"/>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29"/>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29"/>
          <w:rFonts w:ascii="宋体" w:hAnsi="宋体"/>
          <w:color w:val="auto"/>
          <w:kern w:val="0"/>
          <w:sz w:val="24"/>
          <w:highlight w:val="none"/>
        </w:rPr>
      </w:pPr>
      <w:r>
        <w:rPr>
          <w:rStyle w:val="29"/>
          <w:rFonts w:hint="eastAsia" w:ascii="宋体" w:hAnsi="宋体"/>
          <w:color w:val="auto"/>
          <w:kern w:val="0"/>
          <w:sz w:val="24"/>
          <w:highlight w:val="none"/>
        </w:rPr>
        <w:t>2.供应商</w:t>
      </w:r>
      <w:r>
        <w:rPr>
          <w:rStyle w:val="29"/>
          <w:rFonts w:ascii="宋体" w:hAnsi="宋体"/>
          <w:color w:val="auto"/>
          <w:kern w:val="0"/>
          <w:sz w:val="24"/>
          <w:highlight w:val="none"/>
        </w:rPr>
        <w:t>首次提交的报价</w:t>
      </w:r>
      <w:r>
        <w:rPr>
          <w:rStyle w:val="29"/>
          <w:rFonts w:hint="eastAsia" w:ascii="宋体" w:hAnsi="宋体"/>
          <w:color w:val="auto"/>
          <w:kern w:val="0"/>
          <w:sz w:val="24"/>
          <w:highlight w:val="none"/>
        </w:rPr>
        <w:t>总价</w:t>
      </w:r>
      <w:r>
        <w:rPr>
          <w:rStyle w:val="29"/>
          <w:rFonts w:ascii="宋体" w:hAnsi="宋体"/>
          <w:color w:val="auto"/>
          <w:kern w:val="0"/>
          <w:sz w:val="24"/>
          <w:highlight w:val="none"/>
        </w:rPr>
        <w:t>须</w:t>
      </w:r>
      <w:r>
        <w:rPr>
          <w:rStyle w:val="29"/>
          <w:rFonts w:hint="eastAsia" w:ascii="宋体" w:hAnsi="宋体"/>
          <w:color w:val="auto"/>
          <w:kern w:val="0"/>
          <w:sz w:val="24"/>
          <w:highlight w:val="none"/>
        </w:rPr>
        <w:t>低于</w:t>
      </w:r>
      <w:r>
        <w:rPr>
          <w:rStyle w:val="29"/>
          <w:rFonts w:ascii="宋体" w:hAnsi="宋体"/>
          <w:color w:val="auto"/>
          <w:kern w:val="0"/>
          <w:sz w:val="24"/>
          <w:highlight w:val="none"/>
        </w:rPr>
        <w:t>本项目</w:t>
      </w:r>
      <w:r>
        <w:rPr>
          <w:rStyle w:val="29"/>
          <w:rFonts w:hint="eastAsia" w:ascii="宋体" w:hAnsi="宋体"/>
          <w:color w:val="auto"/>
          <w:kern w:val="0"/>
          <w:sz w:val="24"/>
          <w:highlight w:val="none"/>
        </w:rPr>
        <w:t>总价</w:t>
      </w:r>
      <w:r>
        <w:rPr>
          <w:rStyle w:val="29"/>
          <w:rFonts w:ascii="宋体" w:hAnsi="宋体"/>
          <w:color w:val="auto"/>
          <w:kern w:val="0"/>
          <w:sz w:val="24"/>
          <w:highlight w:val="none"/>
        </w:rPr>
        <w:t>最高限价</w:t>
      </w:r>
      <w:r>
        <w:rPr>
          <w:rStyle w:val="29"/>
          <w:rFonts w:hint="eastAsia" w:ascii="宋体" w:hAnsi="宋体"/>
          <w:color w:val="auto"/>
          <w:kern w:val="0"/>
          <w:sz w:val="24"/>
          <w:highlight w:val="none"/>
        </w:rPr>
        <w:t>的</w:t>
      </w:r>
      <w:r>
        <w:rPr>
          <w:rStyle w:val="29"/>
          <w:rFonts w:ascii="宋体" w:hAnsi="宋体"/>
          <w:color w:val="auto"/>
          <w:kern w:val="0"/>
          <w:sz w:val="24"/>
          <w:highlight w:val="none"/>
        </w:rPr>
        <w:t>3%</w:t>
      </w:r>
      <w:r>
        <w:rPr>
          <w:rStyle w:val="29"/>
          <w:rFonts w:hint="eastAsia" w:ascii="宋体" w:hAnsi="宋体"/>
          <w:color w:val="auto"/>
          <w:kern w:val="0"/>
          <w:sz w:val="24"/>
          <w:highlight w:val="none"/>
        </w:rPr>
        <w:t>以上（不含</w:t>
      </w:r>
      <w:r>
        <w:rPr>
          <w:rStyle w:val="29"/>
          <w:rFonts w:ascii="宋体" w:hAnsi="宋体"/>
          <w:color w:val="auto"/>
          <w:kern w:val="0"/>
          <w:sz w:val="24"/>
          <w:highlight w:val="none"/>
        </w:rPr>
        <w:t>3%</w:t>
      </w:r>
      <w:r>
        <w:rPr>
          <w:rStyle w:val="29"/>
          <w:rFonts w:hint="eastAsia" w:ascii="宋体" w:hAnsi="宋体"/>
          <w:color w:val="auto"/>
          <w:kern w:val="0"/>
          <w:sz w:val="24"/>
          <w:highlight w:val="none"/>
        </w:rPr>
        <w:t>）</w:t>
      </w:r>
      <w:r>
        <w:rPr>
          <w:rStyle w:val="29"/>
          <w:rFonts w:ascii="宋体" w:hAnsi="宋体"/>
          <w:color w:val="auto"/>
          <w:kern w:val="0"/>
          <w:sz w:val="24"/>
          <w:highlight w:val="none"/>
        </w:rPr>
        <w:t>，否则</w:t>
      </w:r>
      <w:r>
        <w:rPr>
          <w:rStyle w:val="29"/>
          <w:rFonts w:ascii="宋体" w:hAnsi="宋体" w:cs="宋体"/>
          <w:color w:val="auto"/>
          <w:kern w:val="0"/>
          <w:sz w:val="24"/>
          <w:highlight w:val="none"/>
        </w:rPr>
        <w:t>视为无效报价</w:t>
      </w:r>
      <w:r>
        <w:rPr>
          <w:rStyle w:val="29"/>
          <w:rFonts w:ascii="宋体" w:hAnsi="宋体"/>
          <w:color w:val="auto"/>
          <w:kern w:val="0"/>
          <w:sz w:val="24"/>
          <w:highlight w:val="none"/>
        </w:rPr>
        <w:t>。在</w:t>
      </w:r>
      <w:r>
        <w:rPr>
          <w:rStyle w:val="29"/>
          <w:rFonts w:hint="eastAsia" w:ascii="宋体" w:hAnsi="宋体"/>
          <w:color w:val="auto"/>
          <w:kern w:val="0"/>
          <w:sz w:val="24"/>
          <w:highlight w:val="none"/>
        </w:rPr>
        <w:t>网上竞价时间</w:t>
      </w:r>
      <w:r>
        <w:rPr>
          <w:rStyle w:val="29"/>
          <w:rFonts w:ascii="宋体" w:hAnsi="宋体"/>
          <w:color w:val="auto"/>
          <w:kern w:val="0"/>
          <w:sz w:val="24"/>
          <w:highlight w:val="none"/>
        </w:rPr>
        <w:t>内</w:t>
      </w:r>
      <w:r>
        <w:rPr>
          <w:rStyle w:val="29"/>
          <w:rFonts w:hint="eastAsia" w:ascii="宋体" w:hAnsi="宋体"/>
          <w:color w:val="auto"/>
          <w:kern w:val="0"/>
          <w:sz w:val="24"/>
          <w:highlight w:val="none"/>
        </w:rPr>
        <w:t>、同一供应商有</w:t>
      </w:r>
      <w:r>
        <w:rPr>
          <w:rStyle w:val="29"/>
          <w:rFonts w:ascii="宋体" w:hAnsi="宋体"/>
          <w:color w:val="auto"/>
          <w:kern w:val="0"/>
          <w:sz w:val="24"/>
          <w:highlight w:val="none"/>
        </w:rPr>
        <w:t>多次报价的</w:t>
      </w:r>
      <w:r>
        <w:rPr>
          <w:rStyle w:val="29"/>
          <w:rFonts w:hint="eastAsia" w:ascii="宋体" w:hAnsi="宋体"/>
          <w:color w:val="auto"/>
          <w:kern w:val="0"/>
          <w:sz w:val="24"/>
          <w:highlight w:val="none"/>
        </w:rPr>
        <w:t>情况下</w:t>
      </w:r>
      <w:r>
        <w:rPr>
          <w:rStyle w:val="29"/>
          <w:rFonts w:ascii="宋体" w:hAnsi="宋体"/>
          <w:color w:val="auto"/>
          <w:kern w:val="0"/>
          <w:sz w:val="24"/>
          <w:highlight w:val="none"/>
        </w:rPr>
        <w:t>，</w:t>
      </w:r>
      <w:r>
        <w:rPr>
          <w:rStyle w:val="29"/>
          <w:rFonts w:hint="eastAsia" w:ascii="宋体" w:hAnsi="宋体"/>
          <w:color w:val="auto"/>
          <w:kern w:val="0"/>
          <w:sz w:val="24"/>
          <w:highlight w:val="none"/>
        </w:rPr>
        <w:t>则该供应商的每一次</w:t>
      </w:r>
      <w:r>
        <w:rPr>
          <w:rStyle w:val="29"/>
          <w:rFonts w:ascii="宋体" w:hAnsi="宋体"/>
          <w:color w:val="auto"/>
          <w:kern w:val="0"/>
          <w:sz w:val="24"/>
          <w:highlight w:val="none"/>
        </w:rPr>
        <w:t>报价金额必须小于自己上一次的报价金额，</w:t>
      </w:r>
      <w:r>
        <w:rPr>
          <w:rStyle w:val="29"/>
          <w:rFonts w:hint="eastAsia" w:ascii="宋体" w:hAnsi="宋体"/>
          <w:color w:val="auto"/>
          <w:kern w:val="0"/>
          <w:sz w:val="24"/>
          <w:highlight w:val="none"/>
        </w:rPr>
        <w:t>同时以该供应商</w:t>
      </w:r>
      <w:r>
        <w:rPr>
          <w:rStyle w:val="29"/>
          <w:rFonts w:ascii="宋体" w:hAnsi="宋体"/>
          <w:color w:val="auto"/>
          <w:kern w:val="0"/>
          <w:sz w:val="24"/>
          <w:highlight w:val="none"/>
        </w:rPr>
        <w:t>提交的最后一次报价作为</w:t>
      </w:r>
      <w:r>
        <w:rPr>
          <w:rStyle w:val="29"/>
          <w:rFonts w:hint="eastAsia" w:ascii="宋体" w:hAnsi="宋体"/>
          <w:color w:val="auto"/>
          <w:kern w:val="0"/>
          <w:sz w:val="24"/>
          <w:highlight w:val="none"/>
        </w:rPr>
        <w:t>其最终有效报价</w:t>
      </w:r>
      <w:r>
        <w:rPr>
          <w:rStyle w:val="29"/>
          <w:rFonts w:ascii="宋体" w:hAnsi="宋体"/>
          <w:color w:val="auto"/>
          <w:kern w:val="0"/>
          <w:sz w:val="24"/>
          <w:highlight w:val="none"/>
        </w:rPr>
        <w:t>。</w:t>
      </w:r>
    </w:p>
    <w:p>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pPr>
        <w:widowControl/>
        <w:spacing w:line="360" w:lineRule="auto"/>
        <w:ind w:firstLine="480" w:firstLineChars="200"/>
        <w:jc w:val="left"/>
        <w:textAlignment w:val="baseline"/>
        <w:rPr>
          <w:rStyle w:val="29"/>
          <w:rFonts w:ascii="宋体" w:hAnsi="宋体"/>
          <w:color w:val="auto"/>
          <w:kern w:val="0"/>
          <w:sz w:val="24"/>
          <w:highlight w:val="none"/>
        </w:rPr>
      </w:pPr>
      <w:r>
        <w:rPr>
          <w:rFonts w:hint="eastAsia" w:ascii="宋体" w:hAnsi="宋体" w:cs="宋体"/>
          <w:color w:val="auto"/>
          <w:sz w:val="24"/>
          <w:highlight w:val="none"/>
        </w:rPr>
        <w:t>1.</w:t>
      </w:r>
      <w:r>
        <w:rPr>
          <w:rStyle w:val="29"/>
          <w:rFonts w:hint="eastAsia" w:ascii="宋体" w:hAnsi="宋体"/>
          <w:color w:val="auto"/>
          <w:kern w:val="0"/>
          <w:sz w:val="24"/>
          <w:highlight w:val="none"/>
        </w:rPr>
        <w:t>供应商</w:t>
      </w:r>
      <w:r>
        <w:rPr>
          <w:rStyle w:val="29"/>
          <w:rFonts w:ascii="宋体" w:hAnsi="宋体"/>
          <w:color w:val="auto"/>
          <w:kern w:val="0"/>
          <w:sz w:val="24"/>
          <w:highlight w:val="none"/>
        </w:rPr>
        <w:t>在</w:t>
      </w:r>
      <w:r>
        <w:rPr>
          <w:rStyle w:val="29"/>
          <w:rFonts w:hint="eastAsia" w:ascii="宋体" w:hAnsi="宋体"/>
          <w:color w:val="auto"/>
          <w:kern w:val="0"/>
          <w:sz w:val="24"/>
          <w:highlight w:val="none"/>
        </w:rPr>
        <w:t>完全满足网上竞价文件要求</w:t>
      </w:r>
      <w:r>
        <w:rPr>
          <w:rStyle w:val="29"/>
          <w:rFonts w:ascii="宋体" w:hAnsi="宋体"/>
          <w:color w:val="auto"/>
          <w:kern w:val="0"/>
          <w:sz w:val="24"/>
          <w:highlight w:val="none"/>
        </w:rPr>
        <w:t>且报价有效的前提下，</w:t>
      </w:r>
      <w:r>
        <w:rPr>
          <w:rStyle w:val="29"/>
          <w:rFonts w:hint="eastAsia" w:ascii="宋体" w:hAnsi="宋体"/>
          <w:color w:val="auto"/>
          <w:kern w:val="0"/>
          <w:sz w:val="24"/>
          <w:highlight w:val="none"/>
        </w:rPr>
        <w:t>最终有效报价</w:t>
      </w:r>
      <w:r>
        <w:rPr>
          <w:rStyle w:val="29"/>
          <w:rFonts w:ascii="宋体" w:hAnsi="宋体"/>
          <w:color w:val="auto"/>
          <w:kern w:val="0"/>
          <w:sz w:val="24"/>
          <w:highlight w:val="none"/>
        </w:rPr>
        <w:t>最低者</w:t>
      </w:r>
      <w:r>
        <w:rPr>
          <w:rStyle w:val="29"/>
          <w:rFonts w:hint="eastAsia" w:ascii="宋体" w:hAnsi="宋体"/>
          <w:color w:val="auto"/>
          <w:kern w:val="0"/>
          <w:sz w:val="24"/>
          <w:highlight w:val="none"/>
        </w:rPr>
        <w:t>为</w:t>
      </w:r>
      <w:r>
        <w:rPr>
          <w:rStyle w:val="29"/>
          <w:rFonts w:ascii="宋体" w:hAnsi="宋体"/>
          <w:color w:val="auto"/>
          <w:kern w:val="0"/>
          <w:sz w:val="24"/>
          <w:highlight w:val="none"/>
        </w:rPr>
        <w:t>成交</w:t>
      </w:r>
      <w:r>
        <w:rPr>
          <w:rStyle w:val="29"/>
          <w:rFonts w:hint="eastAsia" w:ascii="宋体" w:hAnsi="宋体"/>
          <w:color w:val="auto"/>
          <w:kern w:val="0"/>
          <w:sz w:val="24"/>
          <w:highlight w:val="none"/>
        </w:rPr>
        <w:t>候选人</w:t>
      </w:r>
      <w:r>
        <w:rPr>
          <w:rStyle w:val="29"/>
          <w:rFonts w:ascii="宋体" w:hAnsi="宋体"/>
          <w:color w:val="auto"/>
          <w:kern w:val="0"/>
          <w:sz w:val="24"/>
          <w:highlight w:val="none"/>
        </w:rPr>
        <w:t>，若</w:t>
      </w:r>
      <w:r>
        <w:rPr>
          <w:rStyle w:val="29"/>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29"/>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pPr>
        <w:pStyle w:val="14"/>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29"/>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29"/>
          <w:rFonts w:hint="eastAsia"/>
          <w:color w:val="auto"/>
          <w:kern w:val="0"/>
          <w:sz w:val="24"/>
          <w:highlight w:val="none"/>
        </w:rPr>
        <w:t>供应商</w:t>
      </w:r>
      <w:r>
        <w:rPr>
          <w:rFonts w:hint="eastAsia"/>
          <w:color w:val="auto"/>
          <w:kern w:val="2"/>
          <w:highlight w:val="none"/>
        </w:rPr>
        <w:t>假借以他人名义参加竞价或者弄虚作假，骗取成交；</w:t>
      </w:r>
    </w:p>
    <w:p>
      <w:pPr>
        <w:pStyle w:val="16"/>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pPr>
        <w:spacing w:line="360" w:lineRule="auto"/>
        <w:jc w:val="center"/>
        <w:rPr>
          <w:rFonts w:ascii="宋体" w:hAnsi="宋体" w:cs="宋体"/>
          <w:b/>
          <w:color w:val="auto"/>
          <w:kern w:val="0"/>
          <w:sz w:val="32"/>
          <w:szCs w:val="32"/>
          <w:highlight w:val="none"/>
        </w:rPr>
      </w:pPr>
    </w:p>
    <w:p>
      <w:pPr>
        <w:pStyle w:val="5"/>
        <w:spacing w:line="360" w:lineRule="auto"/>
        <w:rPr>
          <w:rFonts w:hint="default"/>
          <w:color w:val="auto"/>
          <w:highlight w:val="none"/>
        </w:rPr>
      </w:pPr>
    </w:p>
    <w:p>
      <w:pPr>
        <w:spacing w:line="360" w:lineRule="auto"/>
        <w:rPr>
          <w:rFonts w:ascii="宋体" w:hAnsi="宋体" w:cs="宋体"/>
          <w:b/>
          <w:color w:val="auto"/>
          <w:kern w:val="0"/>
          <w:sz w:val="32"/>
          <w:szCs w:val="32"/>
          <w:highlight w:val="none"/>
        </w:rPr>
      </w:pPr>
    </w:p>
    <w:p>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pPr>
        <w:keepNext w:val="0"/>
        <w:keepLines w:val="0"/>
        <w:pageBreakBefore w:val="0"/>
        <w:kinsoku/>
        <w:wordWrap/>
        <w:overflowPunct/>
        <w:topLinePunct w:val="0"/>
        <w:bidi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pPr>
        <w:keepNext w:val="0"/>
        <w:keepLines w:val="0"/>
        <w:pageBreakBefore w:val="0"/>
        <w:kinsoku/>
        <w:wordWrap/>
        <w:overflowPunct/>
        <w:topLinePunct w:val="0"/>
        <w:bidi w:val="0"/>
        <w:snapToGrid w:val="0"/>
        <w:spacing w:line="360" w:lineRule="auto"/>
        <w:outlineLvl w:val="1"/>
        <w:rPr>
          <w:rFonts w:ascii="宋体" w:hAnsi="宋体" w:cs="宋体"/>
          <w:b/>
          <w:color w:val="auto"/>
          <w:sz w:val="24"/>
          <w:highlight w:val="none"/>
        </w:rPr>
      </w:pPr>
      <w:bookmarkStart w:id="1" w:name="_Toc359317661"/>
      <w:bookmarkStart w:id="2" w:name="_Toc358016816"/>
      <w:bookmarkStart w:id="3" w:name="_Toc347060296"/>
      <w:bookmarkStart w:id="4" w:name="_Toc330567034"/>
      <w:bookmarkStart w:id="5" w:name="_Toc327948617"/>
      <w:bookmarkStart w:id="6" w:name="_Toc346300367"/>
      <w:r>
        <w:rPr>
          <w:rFonts w:hint="eastAsia" w:ascii="宋体" w:hAnsi="宋体" w:cs="宋体"/>
          <w:b/>
          <w:color w:val="auto"/>
          <w:sz w:val="24"/>
          <w:highlight w:val="none"/>
        </w:rPr>
        <w:t>一、项目概述</w:t>
      </w:r>
      <w:bookmarkEnd w:id="1"/>
      <w:bookmarkEnd w:id="2"/>
    </w:p>
    <w:p>
      <w:pPr>
        <w:pStyle w:val="31"/>
        <w:keepNext w:val="0"/>
        <w:keepLines w:val="0"/>
        <w:pageBreakBefore w:val="0"/>
        <w:kinsoku/>
        <w:wordWrap/>
        <w:overflowPunct/>
        <w:topLinePunct w:val="0"/>
        <w:bidi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pPr>
        <w:keepNext w:val="0"/>
        <w:keepLines w:val="0"/>
        <w:pageBreakBefore w:val="0"/>
        <w:kinsoku/>
        <w:wordWrap/>
        <w:overflowPunct/>
        <w:topLinePunct w:val="0"/>
        <w:bidi w:val="0"/>
        <w:spacing w:line="360" w:lineRule="auto"/>
        <w:jc w:val="right"/>
        <w:rPr>
          <w:rFonts w:ascii="宋体" w:hAnsi="宋体"/>
          <w:color w:val="auto"/>
          <w:sz w:val="24"/>
          <w:highlight w:val="none"/>
        </w:rPr>
      </w:pPr>
      <w:r>
        <w:rPr>
          <w:rFonts w:hint="eastAsia" w:ascii="宋体" w:hAnsi="宋体"/>
          <w:color w:val="auto"/>
          <w:sz w:val="24"/>
          <w:highlight w:val="none"/>
        </w:rPr>
        <w:t>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3939"/>
        <w:gridCol w:w="1523"/>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服务名称</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ascii="宋体" w:hAnsi="宋体" w:eastAsia="宋体"/>
                <w:b/>
                <w:bCs/>
                <w:color w:val="auto"/>
                <w:kern w:val="0"/>
                <w:sz w:val="24"/>
                <w:szCs w:val="22"/>
                <w:highlight w:val="none"/>
              </w:rPr>
            </w:pPr>
            <w:r>
              <w:rPr>
                <w:rFonts w:hint="eastAsia" w:ascii="宋体" w:hAnsi="宋体"/>
                <w:b/>
                <w:bCs/>
                <w:color w:val="auto"/>
                <w:kern w:val="0"/>
                <w:sz w:val="24"/>
                <w:szCs w:val="22"/>
                <w:highlight w:val="none"/>
              </w:rPr>
              <w:t>服务期限</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39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center"/>
              <w:rPr>
                <w:rFonts w:ascii="宋体" w:hAnsi="宋体" w:cs="新宋体"/>
                <w:color w:val="auto"/>
                <w:kern w:val="0"/>
                <w:sz w:val="24"/>
                <w:highlight w:val="none"/>
              </w:rPr>
            </w:pPr>
            <w:r>
              <w:rPr>
                <w:rFonts w:hint="eastAsia" w:ascii="宋体" w:hAnsi="宋体" w:cs="新宋体"/>
                <w:color w:val="auto"/>
                <w:kern w:val="0"/>
                <w:sz w:val="24"/>
                <w:highlight w:val="none"/>
              </w:rPr>
              <w:t>防暑降温药品配送服务</w:t>
            </w:r>
          </w:p>
        </w:tc>
        <w:tc>
          <w:tcPr>
            <w:tcW w:w="1523"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2年</w:t>
            </w:r>
          </w:p>
        </w:tc>
        <w:tc>
          <w:tcPr>
            <w:tcW w:w="31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宋体"/>
                <w:color w:val="auto"/>
                <w:kern w:val="0"/>
                <w:sz w:val="24"/>
                <w:highlight w:val="none"/>
                <w:lang w:val="en-US" w:eastAsia="zh-CN"/>
              </w:rPr>
              <w:t>290000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27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贰拾玖万</w:t>
            </w:r>
            <w:r>
              <w:rPr>
                <w:rFonts w:hint="eastAsia" w:ascii="宋体" w:hAnsi="宋体"/>
                <w:color w:val="auto"/>
                <w:kern w:val="0"/>
                <w:sz w:val="24"/>
                <w:highlight w:val="none"/>
                <w:lang w:eastAsia="zh-CN"/>
              </w:rPr>
              <w:t>元整</w:t>
            </w:r>
            <w:r>
              <w:rPr>
                <w:rFonts w:hint="eastAsia" w:ascii="宋体" w:hAnsi="宋体"/>
                <w:color w:val="auto"/>
                <w:kern w:val="0"/>
                <w:sz w:val="24"/>
                <w:highlight w:val="none"/>
              </w:rPr>
              <w:t xml:space="preserve">     </w:t>
            </w:r>
          </w:p>
        </w:tc>
        <w:tc>
          <w:tcPr>
            <w:tcW w:w="46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rPr>
                <w:rFonts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s="宋体"/>
                <w:color w:val="auto"/>
                <w:kern w:val="0"/>
                <w:sz w:val="24"/>
                <w:highlight w:val="none"/>
                <w:lang w:val="en-US" w:eastAsia="zh-CN"/>
              </w:rPr>
              <w:t>290000</w:t>
            </w:r>
            <w:r>
              <w:rPr>
                <w:rFonts w:hint="eastAsia" w:ascii="宋体" w:hAnsi="宋体"/>
                <w:color w:val="auto"/>
                <w:kern w:val="0"/>
                <w:sz w:val="24"/>
                <w:highlight w:val="none"/>
                <w:lang w:val="en-US" w:eastAsia="zh-CN"/>
              </w:rPr>
              <w:t>.00</w:t>
            </w:r>
            <w:r>
              <w:rPr>
                <w:rFonts w:hint="eastAsia" w:ascii="宋体" w:hAnsi="宋体" w:cs="新宋体"/>
                <w:color w:val="auto"/>
                <w:kern w:val="0"/>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91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360" w:lineRule="auto"/>
              <w:rPr>
                <w:rFonts w:hint="eastAsia" w:ascii="宋体" w:hAnsi="宋体" w:eastAsia="宋体"/>
                <w:color w:val="auto"/>
                <w:kern w:val="0"/>
                <w:sz w:val="24"/>
                <w:highlight w:val="none"/>
                <w:lang w:eastAsia="zh-CN"/>
              </w:rPr>
            </w:pPr>
            <w:r>
              <w:rPr>
                <w:rFonts w:hint="eastAsia" w:ascii="宋体" w:hAnsi="宋体"/>
                <w:b/>
                <w:bCs/>
                <w:color w:val="auto"/>
                <w:kern w:val="0"/>
                <w:sz w:val="24"/>
                <w:highlight w:val="none"/>
                <w:shd w:val="clear"/>
                <w:lang w:eastAsia="zh-CN"/>
              </w:rPr>
              <w:t>注：本项目按实结算，结算总金额不超过本项目预算金额人民币</w:t>
            </w:r>
            <w:r>
              <w:rPr>
                <w:rFonts w:hint="eastAsia" w:ascii="宋体" w:hAnsi="宋体"/>
                <w:b/>
                <w:bCs/>
                <w:color w:val="auto"/>
                <w:kern w:val="0"/>
                <w:sz w:val="24"/>
                <w:highlight w:val="none"/>
                <w:shd w:val="clear"/>
                <w:lang w:val="en-US" w:eastAsia="zh-CN"/>
              </w:rPr>
              <w:t>29</w:t>
            </w:r>
            <w:r>
              <w:rPr>
                <w:rFonts w:hint="eastAsia" w:ascii="宋体" w:hAnsi="宋体"/>
                <w:b/>
                <w:bCs/>
                <w:color w:val="auto"/>
                <w:kern w:val="0"/>
                <w:sz w:val="24"/>
                <w:highlight w:val="none"/>
                <w:shd w:val="clear"/>
                <w:lang w:eastAsia="zh-CN"/>
              </w:rPr>
              <w:t>0000元整；（若在合同期内采购总金额已经达到本项目预算总金额，则本合同自动终止，超过预算金额的部分，采购人不承担支付价款的责任。）</w:t>
            </w:r>
          </w:p>
        </w:tc>
      </w:tr>
    </w:tbl>
    <w:p>
      <w:pPr>
        <w:pStyle w:val="4"/>
        <w:keepNext w:val="0"/>
        <w:keepLines w:val="0"/>
        <w:pageBreakBefore w:val="0"/>
        <w:kinsoku/>
        <w:wordWrap/>
        <w:overflowPunct/>
        <w:topLinePunct w:val="0"/>
        <w:bidi w:val="0"/>
        <w:spacing w:beforeAutospacing="0" w:afterAutospacing="0" w:line="360" w:lineRule="auto"/>
        <w:ind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pPr>
        <w:pStyle w:val="4"/>
        <w:keepNext w:val="0"/>
        <w:keepLines w:val="0"/>
        <w:pageBreakBefore w:val="0"/>
        <w:kinsoku/>
        <w:wordWrap/>
        <w:overflowPunct/>
        <w:topLinePunct w:val="0"/>
        <w:bidi w:val="0"/>
        <w:spacing w:beforeAutospacing="0" w:afterAutospacing="0" w:line="360" w:lineRule="auto"/>
        <w:ind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highlight w:val="none"/>
          <w:lang w:eastAsia="zh-CN"/>
        </w:rPr>
        <w:t>防暑降温药品配送服务项目</w:t>
      </w:r>
      <w:r>
        <w:rPr>
          <w:rFonts w:hint="eastAsia" w:cs="宋体"/>
          <w:b w:val="0"/>
          <w:bCs/>
          <w:color w:val="auto"/>
          <w:sz w:val="24"/>
          <w:highlight w:val="none"/>
        </w:rPr>
        <w:t>，预算金额</w:t>
      </w:r>
      <w:r>
        <w:rPr>
          <w:rFonts w:hint="eastAsia" w:cs="宋体"/>
          <w:b w:val="0"/>
          <w:bCs/>
          <w:color w:val="auto"/>
          <w:sz w:val="24"/>
          <w:highlight w:val="none"/>
          <w:lang w:val="en-US" w:eastAsia="zh-CN"/>
        </w:rPr>
        <w:t>29</w:t>
      </w:r>
      <w:r>
        <w:rPr>
          <w:rFonts w:hint="eastAsia" w:cs="宋体"/>
          <w:b w:val="0"/>
          <w:bCs/>
          <w:color w:val="auto"/>
          <w:sz w:val="24"/>
          <w:highlight w:val="none"/>
        </w:rPr>
        <w:t>万元。要求供应商根据本网上竞价文件提出的技术要求对所需技术服务等进行报价。</w:t>
      </w:r>
    </w:p>
    <w:p>
      <w:pPr>
        <w:keepNext w:val="0"/>
        <w:keepLines w:val="0"/>
        <w:pageBreakBefore w:val="0"/>
        <w:kinsoku/>
        <w:wordWrap/>
        <w:overflowPunct/>
        <w:topLinePunct w:val="0"/>
        <w:bidi w:val="0"/>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w:t>
      </w:r>
      <w:r>
        <w:rPr>
          <w:rFonts w:hint="eastAsia" w:ascii="宋体" w:hAnsi="宋体" w:cs="宋体"/>
          <w:color w:val="auto"/>
          <w:sz w:val="24"/>
          <w:highlight w:val="none"/>
          <w:lang w:eastAsia="zh-CN"/>
        </w:rPr>
        <w:t>的服务</w:t>
      </w:r>
      <w:r>
        <w:rPr>
          <w:rFonts w:hint="eastAsia" w:ascii="宋体" w:hAnsi="宋体" w:cs="宋体"/>
          <w:color w:val="auto"/>
          <w:sz w:val="24"/>
          <w:highlight w:val="none"/>
        </w:rPr>
        <w:t>参加报价，并列出详细技术参数偏离表。本项目不允许负偏离。</w:t>
      </w:r>
    </w:p>
    <w:p>
      <w:pPr>
        <w:keepNext w:val="0"/>
        <w:keepLines w:val="0"/>
        <w:pageBreakBefore w:val="0"/>
        <w:kinsoku/>
        <w:wordWrap/>
        <w:overflowPunct/>
        <w:topLinePunct w:val="0"/>
        <w:bidi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.报价说明</w:t>
      </w:r>
    </w:p>
    <w:p>
      <w:pPr>
        <w:keepNext w:val="0"/>
        <w:keepLines w:val="0"/>
        <w:pageBreakBefore w:val="0"/>
        <w:kinsoku/>
        <w:wordWrap/>
        <w:overflowPunct/>
        <w:topLinePunct w:val="0"/>
        <w:bidi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.1本项目为折扣报价。供应商须对所投合同包内的所有产品进行统一的折扣报价（即供应商所投所有产品只能有唯一一个折扣报价），各供应商在网上竞价平台上填写的合同包投标总价=</w:t>
      </w:r>
      <w:r>
        <w:rPr>
          <w:rFonts w:hint="eastAsia" w:ascii="宋体" w:hAnsi="宋体" w:cs="宋体"/>
          <w:color w:val="auto"/>
          <w:kern w:val="0"/>
          <w:sz w:val="24"/>
          <w:highlight w:val="none"/>
          <w:lang w:val="en-US" w:eastAsia="zh-CN"/>
        </w:rPr>
        <w:t>290000</w:t>
      </w:r>
      <w:r>
        <w:rPr>
          <w:rFonts w:hint="eastAsia" w:ascii="宋体" w:hAnsi="宋体" w:cs="宋体"/>
          <w:color w:val="auto"/>
          <w:kern w:val="0"/>
          <w:sz w:val="24"/>
          <w:highlight w:val="none"/>
        </w:rPr>
        <w:t>元×所报折扣。举例说明：供应商所报折扣为9折，则网上竞价平台上填写的投标总价为</w:t>
      </w:r>
      <w:r>
        <w:rPr>
          <w:rFonts w:hint="eastAsia" w:ascii="宋体" w:hAnsi="宋体" w:cs="宋体"/>
          <w:color w:val="auto"/>
          <w:kern w:val="0"/>
          <w:sz w:val="24"/>
          <w:highlight w:val="none"/>
          <w:lang w:val="en-US" w:eastAsia="zh-CN"/>
        </w:rPr>
        <w:t>290000</w:t>
      </w:r>
      <w:r>
        <w:rPr>
          <w:rFonts w:hint="eastAsia" w:ascii="宋体" w:hAnsi="宋体" w:cs="宋体"/>
          <w:color w:val="auto"/>
          <w:kern w:val="0"/>
          <w:sz w:val="24"/>
          <w:highlight w:val="none"/>
        </w:rPr>
        <w:t>元×0.9=</w:t>
      </w:r>
      <w:r>
        <w:rPr>
          <w:rFonts w:hint="eastAsia" w:ascii="宋体" w:hAnsi="宋体" w:cs="宋体"/>
          <w:color w:val="auto"/>
          <w:kern w:val="0"/>
          <w:sz w:val="24"/>
          <w:highlight w:val="none"/>
          <w:lang w:val="en-US" w:eastAsia="zh-CN"/>
        </w:rPr>
        <w:t>261000</w:t>
      </w:r>
      <w:r>
        <w:rPr>
          <w:rFonts w:hint="eastAsia" w:ascii="宋体" w:hAnsi="宋体" w:cs="宋体"/>
          <w:color w:val="auto"/>
          <w:kern w:val="0"/>
          <w:sz w:val="24"/>
          <w:highlight w:val="none"/>
        </w:rPr>
        <w:t>元。网上竞价结束后，将按照其所报的合同包投标总价÷</w:t>
      </w:r>
      <w:r>
        <w:rPr>
          <w:rFonts w:hint="eastAsia" w:ascii="宋体" w:hAnsi="宋体" w:cs="宋体"/>
          <w:color w:val="auto"/>
          <w:kern w:val="0"/>
          <w:sz w:val="24"/>
          <w:highlight w:val="none"/>
          <w:lang w:val="en-US" w:eastAsia="zh-CN"/>
        </w:rPr>
        <w:t>290000</w:t>
      </w:r>
      <w:r>
        <w:rPr>
          <w:rFonts w:hint="eastAsia" w:ascii="宋体" w:hAnsi="宋体" w:cs="宋体"/>
          <w:color w:val="auto"/>
          <w:kern w:val="0"/>
          <w:sz w:val="24"/>
          <w:highlight w:val="none"/>
        </w:rPr>
        <w:t>元计算成交折扣（成交折扣计算时保留小数点后两位，小数点后第三位四舍五入），并以此作为结算依据。成交供应商在网上竞价平台中所报的合同包投标总价不等同于签订合同的金额，签订合同时以成交折扣为准，实际合同金额为预算金额。</w:t>
      </w:r>
    </w:p>
    <w:p>
      <w:pPr>
        <w:keepNext w:val="0"/>
        <w:keepLines w:val="0"/>
        <w:pageBreakBefore w:val="0"/>
        <w:kinsoku/>
        <w:wordWrap/>
        <w:overflowPunct/>
        <w:topLinePunct w:val="0"/>
        <w:bidi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.2供应商应以包括有关本项目的所有费用进行报价，应包括但不限于项目执行</w:t>
      </w:r>
      <w:r>
        <w:rPr>
          <w:rFonts w:hint="eastAsia" w:ascii="宋体" w:hAnsi="宋体" w:cs="宋体"/>
          <w:color w:val="auto"/>
          <w:sz w:val="24"/>
          <w:highlight w:val="none"/>
          <w:lang w:eastAsia="zh-CN"/>
        </w:rPr>
        <w:t>所有</w:t>
      </w:r>
      <w:r>
        <w:rPr>
          <w:rFonts w:hint="eastAsia" w:ascii="宋体" w:hAnsi="宋体" w:cs="宋体"/>
          <w:color w:val="auto"/>
          <w:sz w:val="24"/>
          <w:highlight w:val="none"/>
        </w:rPr>
        <w:t>费用。本项目所发生的一切费用均包含在报价中，如有遗漏，由供应商自行补充，一旦成交视为供应商认同遗漏部分并免费提供。采购人不再进行任何增补。合同金额为成交报价金额。</w:t>
      </w:r>
    </w:p>
    <w:p>
      <w:pPr>
        <w:keepNext w:val="0"/>
        <w:keepLines w:val="0"/>
        <w:pageBreakBefore w:val="0"/>
        <w:kinsoku/>
        <w:wordWrap/>
        <w:overflowPunct/>
        <w:topLinePunct w:val="0"/>
        <w:bidi w:val="0"/>
        <w:spacing w:line="360" w:lineRule="auto"/>
        <w:rPr>
          <w:rFonts w:hint="eastAsia"/>
          <w:color w:val="auto"/>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p>
      <w:pPr>
        <w:keepNext w:val="0"/>
        <w:keepLines w:val="0"/>
        <w:pageBreakBefore w:val="0"/>
        <w:kinsoku/>
        <w:wordWrap/>
        <w:overflowPunct/>
        <w:topLinePunct w:val="0"/>
        <w:bidi w:val="0"/>
        <w:spacing w:line="360" w:lineRule="auto"/>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eastAsia="zh-CN"/>
        </w:rPr>
        <w:t>（一）采购计划清单</w:t>
      </w:r>
    </w:p>
    <w:tbl>
      <w:tblPr>
        <w:tblStyle w:val="2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269"/>
        <w:gridCol w:w="895"/>
        <w:gridCol w:w="1367"/>
        <w:gridCol w:w="1289"/>
        <w:gridCol w:w="3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color w:val="auto"/>
                <w:kern w:val="0"/>
                <w:sz w:val="24"/>
                <w:szCs w:val="24"/>
                <w:highlight w:val="none"/>
                <w:lang w:val="en-US" w:eastAsia="zh-CN" w:bidi="ar-SA"/>
              </w:rPr>
              <w:t>名  称</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color w:val="auto"/>
                <w:kern w:val="0"/>
                <w:sz w:val="24"/>
                <w:szCs w:val="24"/>
                <w:highlight w:val="none"/>
                <w:lang w:val="en-US" w:eastAsia="zh-CN" w:bidi="ar-SA"/>
              </w:rPr>
              <w:t>单位</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color w:val="auto"/>
                <w:kern w:val="0"/>
                <w:sz w:val="24"/>
                <w:szCs w:val="24"/>
                <w:highlight w:val="none"/>
                <w:lang w:val="en-US" w:eastAsia="zh-CN" w:bidi="ar-SA"/>
              </w:rPr>
              <w:t>最高限价（元）</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color w:val="auto"/>
                <w:kern w:val="0"/>
                <w:sz w:val="24"/>
                <w:szCs w:val="24"/>
                <w:highlight w:val="none"/>
                <w:lang w:val="en-US" w:eastAsia="zh-CN" w:bidi="ar-SA"/>
              </w:rPr>
              <w:t>预估数量</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规格包装要求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绞股兰（中药）</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lang w:val="en-US"/>
              </w:rPr>
            </w:pPr>
            <w:r>
              <w:rPr>
                <w:rFonts w:hint="eastAsia" w:ascii="宋体" w:hAnsi="宋体" w:eastAsia="宋体" w:cs="宋体"/>
                <w:i w:val="0"/>
                <w:color w:val="auto"/>
                <w:kern w:val="0"/>
                <w:sz w:val="24"/>
                <w:szCs w:val="24"/>
                <w:highlight w:val="none"/>
                <w:lang w:val="en-US" w:eastAsia="zh-CN" w:bidi="ar-SA"/>
              </w:rPr>
              <w:t>47.5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按每包500g独立包装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甘草（中药）</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lang w:val="en-US"/>
              </w:rPr>
            </w:pPr>
            <w:r>
              <w:rPr>
                <w:rFonts w:hint="eastAsia" w:ascii="宋体" w:hAnsi="宋体" w:eastAsia="宋体" w:cs="宋体"/>
                <w:i w:val="0"/>
                <w:color w:val="auto"/>
                <w:kern w:val="0"/>
                <w:sz w:val="24"/>
                <w:szCs w:val="24"/>
                <w:highlight w:val="none"/>
                <w:lang w:val="en-US" w:eastAsia="zh-CN" w:bidi="ar-SA"/>
              </w:rPr>
              <w:t>42</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按每包500g独立包装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鱼腥草（中药）</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lang w:val="en-US"/>
              </w:rPr>
            </w:pPr>
            <w:r>
              <w:rPr>
                <w:rFonts w:hint="eastAsia" w:ascii="宋体" w:hAnsi="宋体" w:eastAsia="宋体" w:cs="宋体"/>
                <w:i w:val="0"/>
                <w:color w:val="auto"/>
                <w:kern w:val="0"/>
                <w:sz w:val="24"/>
                <w:szCs w:val="24"/>
                <w:highlight w:val="none"/>
                <w:lang w:val="en-US" w:eastAsia="zh-CN" w:bidi="ar-SA"/>
              </w:rPr>
              <w:t>35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2600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按每包500g独立包装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板蓝根草药（中药）</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lang w:val="en-US"/>
              </w:rPr>
            </w:pPr>
            <w:r>
              <w:rPr>
                <w:rFonts w:hint="eastAsia" w:ascii="宋体" w:hAnsi="宋体" w:eastAsia="宋体" w:cs="宋体"/>
                <w:i w:val="0"/>
                <w:color w:val="auto"/>
                <w:kern w:val="0"/>
                <w:sz w:val="24"/>
                <w:szCs w:val="24"/>
                <w:highlight w:val="none"/>
                <w:lang w:val="en-US" w:eastAsia="zh-CN" w:bidi="ar-SA"/>
              </w:rPr>
              <w:t>45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2400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按每包500g独立包装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黄芪</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lang w:val="en-US"/>
              </w:rPr>
            </w:pPr>
            <w:r>
              <w:rPr>
                <w:rFonts w:hint="eastAsia" w:ascii="宋体" w:hAnsi="宋体" w:eastAsia="宋体" w:cs="宋体"/>
                <w:i w:val="0"/>
                <w:color w:val="auto"/>
                <w:kern w:val="0"/>
                <w:sz w:val="24"/>
                <w:szCs w:val="24"/>
                <w:highlight w:val="none"/>
                <w:lang w:val="en-US" w:eastAsia="zh-CN" w:bidi="ar-SA"/>
              </w:rPr>
              <w:t>37.5</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按每包500g独立包装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党参</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包</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lang w:val="en-US"/>
              </w:rPr>
            </w:pPr>
            <w:r>
              <w:rPr>
                <w:rFonts w:hint="eastAsia" w:ascii="宋体" w:hAnsi="宋体" w:eastAsia="宋体" w:cs="宋体"/>
                <w:i w:val="0"/>
                <w:color w:val="auto"/>
                <w:kern w:val="0"/>
                <w:sz w:val="24"/>
                <w:szCs w:val="24"/>
                <w:highlight w:val="none"/>
                <w:lang w:val="en-US" w:eastAsia="zh-CN" w:bidi="ar-SA"/>
              </w:rPr>
              <w:t>153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按每包500g独立包装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藿香正气丸</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瓶</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38</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300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720丸/瓶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人丹</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小包</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4</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包衣糊丸，</w:t>
            </w:r>
            <w:r>
              <w:rPr>
                <w:rFonts w:hint="eastAsia" w:ascii="宋体" w:hAnsi="宋体" w:eastAsia="宋体" w:cs="宋体"/>
                <w:color w:val="auto"/>
                <w:kern w:val="0"/>
                <w:sz w:val="24"/>
                <w:szCs w:val="24"/>
                <w:highlight w:val="none"/>
                <w:lang w:val="en-US" w:eastAsia="zh-CN" w:bidi="ar"/>
              </w:rPr>
              <w:t>30粒每小包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0"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六一散</w:t>
            </w:r>
          </w:p>
        </w:tc>
        <w:tc>
          <w:tcPr>
            <w:tcW w:w="4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盒</w:t>
            </w:r>
          </w:p>
        </w:tc>
        <w:tc>
          <w:tcPr>
            <w:tcW w:w="7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23</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200</w:t>
            </w:r>
          </w:p>
        </w:tc>
        <w:tc>
          <w:tcPr>
            <w:tcW w:w="180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iCs w:val="0"/>
                <w:color w:val="auto"/>
                <w:kern w:val="0"/>
                <w:sz w:val="24"/>
                <w:szCs w:val="24"/>
                <w:highlight w:val="none"/>
                <w:u w:val="none"/>
                <w:lang w:val="en-US" w:eastAsia="zh-CN" w:bidi="ar"/>
              </w:rPr>
              <w:t>9g*20袋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2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color w:val="auto"/>
                <w:sz w:val="24"/>
                <w:szCs w:val="24"/>
                <w:highlight w:val="none"/>
              </w:rPr>
            </w:pPr>
            <w:r>
              <w:rPr>
                <w:rFonts w:hint="eastAsia" w:ascii="宋体" w:hAnsi="宋体" w:eastAsia="宋体" w:cs="宋体"/>
                <w:i w:val="0"/>
                <w:color w:val="auto"/>
                <w:kern w:val="0"/>
                <w:sz w:val="24"/>
                <w:szCs w:val="24"/>
                <w:highlight w:val="none"/>
                <w:lang w:val="en-US" w:eastAsia="zh-CN" w:bidi="ar-SA"/>
              </w:rPr>
              <w:t>合计</w:t>
            </w:r>
          </w:p>
        </w:tc>
        <w:tc>
          <w:tcPr>
            <w:tcW w:w="375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auto"/>
                <w:kern w:val="0"/>
                <w:sz w:val="24"/>
                <w:szCs w:val="24"/>
                <w:highlight w:val="none"/>
                <w:lang w:val="en-US" w:eastAsia="zh-CN" w:bidi="ar-SA"/>
              </w:rPr>
            </w:pPr>
            <w:r>
              <w:rPr>
                <w:rFonts w:hint="eastAsia" w:ascii="宋体" w:hAnsi="宋体" w:eastAsia="宋体" w:cs="宋体"/>
                <w:i w:val="0"/>
                <w:color w:val="auto"/>
                <w:kern w:val="0"/>
                <w:sz w:val="24"/>
                <w:szCs w:val="24"/>
                <w:highlight w:val="none"/>
                <w:lang w:val="en-US" w:eastAsia="zh-CN" w:bidi="ar-SA"/>
              </w:rPr>
              <w:t>该项目中预估数量仅作为参考数量，实际采购数量以采购人具体下单为准，合同期内，结算金额不超过29万元。</w:t>
            </w:r>
          </w:p>
        </w:tc>
      </w:tr>
    </w:tbl>
    <w:p>
      <w:pPr>
        <w:keepNext w:val="0"/>
        <w:keepLines w:val="0"/>
        <w:pageBreakBefore w:val="0"/>
        <w:widowControl/>
        <w:kinsoku/>
        <w:wordWrap/>
        <w:overflowPunct/>
        <w:topLinePunct w:val="0"/>
        <w:autoSpaceDE/>
        <w:autoSpaceDN/>
        <w:bidi w:val="0"/>
        <w:adjustRightInd/>
        <w:snapToGrid/>
        <w:spacing w:before="0" w:line="360" w:lineRule="auto"/>
        <w:ind w:left="0" w:leftChars="0" w:right="0" w:rightChars="0" w:firstLine="0" w:firstLineChars="0"/>
        <w:jc w:val="left"/>
        <w:textAlignment w:val="auto"/>
        <w:outlineLvl w:val="9"/>
        <w:rPr>
          <w:rFonts w:hint="eastAsia" w:ascii="新宋体" w:hAnsi="新宋体" w:eastAsia="新宋体" w:cs="Times New Roman"/>
          <w:b/>
          <w:color w:val="auto"/>
          <w:kern w:val="2"/>
          <w:sz w:val="24"/>
          <w:szCs w:val="24"/>
          <w:highlight w:val="none"/>
          <w:lang w:val="en-US" w:eastAsia="zh-CN" w:bidi="ar-SA"/>
        </w:rPr>
      </w:pPr>
      <w:r>
        <w:rPr>
          <w:rFonts w:hint="eastAsia" w:ascii="新宋体" w:hAnsi="新宋体" w:eastAsia="新宋体" w:cs="Times New Roman"/>
          <w:b/>
          <w:color w:val="auto"/>
          <w:kern w:val="2"/>
          <w:sz w:val="24"/>
          <w:szCs w:val="24"/>
          <w:highlight w:val="none"/>
          <w:lang w:val="en-US" w:eastAsia="zh-CN" w:bidi="ar-SA"/>
        </w:rPr>
        <w:t xml:space="preserve">    ①所有报价均含税价，送到采购人单位运输费用等所有价格。</w:t>
      </w:r>
    </w:p>
    <w:p>
      <w:pPr>
        <w:keepNext w:val="0"/>
        <w:keepLines w:val="0"/>
        <w:pageBreakBefore w:val="0"/>
        <w:widowControl/>
        <w:kinsoku/>
        <w:wordWrap/>
        <w:overflowPunct/>
        <w:topLinePunct w:val="0"/>
        <w:autoSpaceDE/>
        <w:autoSpaceDN/>
        <w:bidi w:val="0"/>
        <w:adjustRightInd/>
        <w:snapToGrid/>
        <w:spacing w:before="0" w:line="360" w:lineRule="auto"/>
        <w:ind w:left="0" w:leftChars="0" w:right="0" w:rightChars="0" w:firstLine="0" w:firstLineChars="0"/>
        <w:jc w:val="left"/>
        <w:textAlignment w:val="auto"/>
        <w:outlineLvl w:val="9"/>
        <w:rPr>
          <w:rFonts w:hint="eastAsia" w:ascii="新宋体" w:hAnsi="新宋体" w:eastAsia="新宋体" w:cs="Times New Roman"/>
          <w:b/>
          <w:color w:val="auto"/>
          <w:kern w:val="2"/>
          <w:sz w:val="24"/>
          <w:szCs w:val="24"/>
          <w:highlight w:val="none"/>
          <w:lang w:val="en-US" w:eastAsia="zh-CN" w:bidi="ar-SA"/>
        </w:rPr>
      </w:pPr>
      <w:r>
        <w:rPr>
          <w:rFonts w:hint="eastAsia" w:ascii="新宋体" w:hAnsi="新宋体" w:eastAsia="新宋体" w:cs="Times New Roman"/>
          <w:b/>
          <w:color w:val="auto"/>
          <w:kern w:val="2"/>
          <w:sz w:val="24"/>
          <w:szCs w:val="24"/>
          <w:highlight w:val="none"/>
          <w:lang w:val="en-US" w:eastAsia="zh-CN" w:bidi="ar-SA"/>
        </w:rPr>
        <w:t xml:space="preserve">    ②如因厂家客观原因无法提供合同中厂家品种，需要更换生产厂家，成交供应商保证所替代产品质量不低于合同报价的产品。</w:t>
      </w:r>
    </w:p>
    <w:p>
      <w:pPr>
        <w:keepNext w:val="0"/>
        <w:keepLines w:val="0"/>
        <w:pageBreakBefore w:val="0"/>
        <w:widowControl/>
        <w:kinsoku/>
        <w:wordWrap/>
        <w:overflowPunct/>
        <w:topLinePunct w:val="0"/>
        <w:autoSpaceDE/>
        <w:autoSpaceDN/>
        <w:bidi w:val="0"/>
        <w:adjustRightInd/>
        <w:snapToGrid/>
        <w:spacing w:before="0" w:line="360" w:lineRule="auto"/>
        <w:ind w:left="0" w:leftChars="0" w:right="0" w:rightChars="0" w:firstLine="0" w:firstLineChars="0"/>
        <w:jc w:val="left"/>
        <w:textAlignment w:val="auto"/>
        <w:outlineLvl w:val="9"/>
        <w:rPr>
          <w:rFonts w:hint="eastAsia" w:ascii="新宋体" w:hAnsi="新宋体" w:eastAsia="新宋体" w:cs="Times New Roman"/>
          <w:b/>
          <w:color w:val="auto"/>
          <w:kern w:val="2"/>
          <w:sz w:val="24"/>
          <w:szCs w:val="24"/>
          <w:highlight w:val="none"/>
          <w:lang w:val="en-US" w:eastAsia="zh-CN" w:bidi="ar-SA"/>
        </w:rPr>
      </w:pPr>
      <w:r>
        <w:rPr>
          <w:rFonts w:hint="eastAsia" w:ascii="新宋体" w:hAnsi="新宋体" w:eastAsia="新宋体" w:cs="Times New Roman"/>
          <w:b/>
          <w:color w:val="auto"/>
          <w:kern w:val="2"/>
          <w:sz w:val="24"/>
          <w:szCs w:val="24"/>
          <w:highlight w:val="none"/>
          <w:lang w:val="en-US" w:eastAsia="zh-CN" w:bidi="ar-SA"/>
        </w:rPr>
        <w:t xml:space="preserve">    ③成交供应商应安排人员车辆将货品送达采购人所在地指定地点，并配合采购人要求办理进监手续。</w:t>
      </w:r>
    </w:p>
    <w:p>
      <w:pPr>
        <w:keepNext w:val="0"/>
        <w:keepLines w:val="0"/>
        <w:pageBreakBefore w:val="0"/>
        <w:widowControl/>
        <w:kinsoku/>
        <w:wordWrap/>
        <w:overflowPunct/>
        <w:topLinePunct w:val="0"/>
        <w:autoSpaceDE/>
        <w:autoSpaceDN/>
        <w:bidi w:val="0"/>
        <w:adjustRightInd/>
        <w:snapToGrid/>
        <w:spacing w:before="0" w:line="360" w:lineRule="auto"/>
        <w:ind w:left="0" w:leftChars="0" w:right="0" w:rightChars="0" w:firstLine="0" w:firstLineChars="0"/>
        <w:jc w:val="left"/>
        <w:textAlignment w:val="auto"/>
        <w:outlineLvl w:val="9"/>
        <w:rPr>
          <w:rFonts w:hint="eastAsia" w:ascii="新宋体" w:hAnsi="新宋体" w:eastAsia="新宋体" w:cs="Times New Roman"/>
          <w:b/>
          <w:color w:val="auto"/>
          <w:kern w:val="2"/>
          <w:sz w:val="24"/>
          <w:szCs w:val="24"/>
          <w:highlight w:val="none"/>
          <w:lang w:val="en-US" w:eastAsia="zh-CN" w:bidi="ar-SA"/>
        </w:rPr>
      </w:pPr>
      <w:r>
        <w:rPr>
          <w:rFonts w:hint="eastAsia" w:ascii="新宋体" w:hAnsi="新宋体" w:eastAsia="新宋体" w:cs="Times New Roman"/>
          <w:b/>
          <w:color w:val="auto"/>
          <w:kern w:val="2"/>
          <w:sz w:val="24"/>
          <w:szCs w:val="24"/>
          <w:highlight w:val="none"/>
          <w:lang w:val="en-US" w:eastAsia="zh-CN" w:bidi="ar-SA"/>
        </w:rPr>
        <w:t xml:space="preserve">    ④药品有效期期限：除采购人对有效另外规定外，成交供应商所提供药品的剩余效期应在效期的一半以上。</w:t>
      </w:r>
    </w:p>
    <w:p>
      <w:pPr>
        <w:keepNext w:val="0"/>
        <w:keepLines w:val="0"/>
        <w:pageBreakBefore w:val="0"/>
        <w:widowControl/>
        <w:kinsoku/>
        <w:wordWrap/>
        <w:overflowPunct/>
        <w:topLinePunct w:val="0"/>
        <w:autoSpaceDE/>
        <w:autoSpaceDN/>
        <w:bidi w:val="0"/>
        <w:adjustRightInd/>
        <w:snapToGrid/>
        <w:spacing w:before="0" w:line="360" w:lineRule="auto"/>
        <w:ind w:left="0" w:leftChars="0" w:right="0" w:rightChars="0" w:firstLine="482" w:firstLineChars="200"/>
        <w:jc w:val="left"/>
        <w:textAlignment w:val="auto"/>
        <w:outlineLvl w:val="9"/>
        <w:rPr>
          <w:rFonts w:hint="eastAsia" w:ascii="新宋体" w:hAnsi="新宋体" w:eastAsia="新宋体" w:cs="Times New Roman"/>
          <w:b/>
          <w:color w:val="auto"/>
          <w:kern w:val="2"/>
          <w:sz w:val="24"/>
          <w:szCs w:val="24"/>
          <w:highlight w:val="none"/>
          <w:lang w:val="en-US" w:eastAsia="zh-CN" w:bidi="ar-SA"/>
        </w:rPr>
      </w:pPr>
      <w:r>
        <w:rPr>
          <w:rFonts w:hint="eastAsia" w:ascii="新宋体" w:hAnsi="新宋体" w:eastAsia="新宋体" w:cs="Times New Roman"/>
          <w:b/>
          <w:color w:val="auto"/>
          <w:kern w:val="2"/>
          <w:sz w:val="24"/>
          <w:szCs w:val="24"/>
          <w:highlight w:val="none"/>
          <w:lang w:val="en-US" w:eastAsia="zh-CN" w:bidi="ar-SA"/>
        </w:rPr>
        <w:t>⑤药品包装：药品均应按照国家规定的标准保护措施进行包装，以防药品在运输中损坏或者变质。</w:t>
      </w:r>
    </w:p>
    <w:p>
      <w:pPr>
        <w:keepNext w:val="0"/>
        <w:keepLines w:val="0"/>
        <w:pageBreakBefore w:val="0"/>
        <w:kinsoku/>
        <w:wordWrap/>
        <w:overflowPunct/>
        <w:topLinePunct w:val="0"/>
        <w:bidi w:val="0"/>
        <w:spacing w:line="360" w:lineRule="auto"/>
        <w:rPr>
          <w:rFonts w:hint="eastAsia" w:ascii="新宋体" w:hAnsi="新宋体" w:eastAsia="新宋体" w:cs="新宋体"/>
          <w:b/>
          <w:bCs/>
          <w:color w:val="auto"/>
          <w:sz w:val="24"/>
          <w:szCs w:val="24"/>
          <w:highlight w:val="none"/>
          <w:lang w:eastAsia="zh-CN"/>
        </w:rPr>
      </w:pPr>
      <w:r>
        <w:rPr>
          <w:rFonts w:hint="eastAsia" w:ascii="新宋体" w:hAnsi="新宋体" w:eastAsia="新宋体" w:cs="新宋体"/>
          <w:b/>
          <w:bCs/>
          <w:color w:val="auto"/>
          <w:sz w:val="24"/>
          <w:szCs w:val="24"/>
          <w:highlight w:val="none"/>
          <w:lang w:eastAsia="zh-CN"/>
        </w:rPr>
        <w:t>（二）配送服务要求和</w:t>
      </w:r>
      <w:r>
        <w:rPr>
          <w:rFonts w:hint="eastAsia" w:ascii="新宋体" w:hAnsi="新宋体" w:eastAsia="新宋体" w:cs="新宋体"/>
          <w:b/>
          <w:bCs/>
          <w:color w:val="auto"/>
          <w:sz w:val="24"/>
          <w:szCs w:val="24"/>
          <w:highlight w:val="none"/>
        </w:rPr>
        <w:t>验收</w:t>
      </w:r>
    </w:p>
    <w:p>
      <w:pPr>
        <w:keepNext w:val="0"/>
        <w:keepLines w:val="0"/>
        <w:pageBreakBefore w:val="0"/>
        <w:kinsoku/>
        <w:wordWrap/>
        <w:overflowPunct/>
        <w:topLinePunct w:val="0"/>
        <w:bidi w:val="0"/>
        <w:spacing w:line="360" w:lineRule="auto"/>
        <w:ind w:firstLine="481"/>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w:t>
      </w:r>
      <w:r>
        <w:rPr>
          <w:rFonts w:hint="eastAsia" w:ascii="新宋体" w:hAnsi="新宋体" w:eastAsia="新宋体"/>
          <w:b/>
          <w:color w:val="auto"/>
          <w:kern w:val="2"/>
          <w:sz w:val="24"/>
          <w:szCs w:val="24"/>
          <w:highlight w:val="none"/>
          <w:lang w:val="en-US" w:eastAsia="zh-CN" w:bidi="ar-SA"/>
        </w:rPr>
        <w:t>药品质量及检验要求：①药品应符合药典标准或者国家食品药品监督管理部门规定的标准，并附有该药品检验报告书，确保临床用药安全有效。②采购人在临床使用中确认需要进行药品质量检测，可要求成交供应商将该批次送交法定部门进行质量检测，并提供质量检验报告书。因检验需要，相关法定部门到医疗机构抽检数量较多的同批药品时，该药品由成交供应商统筹安排。③药品质量不符合规定的，合理选择要求厂家更换、退货等。</w:t>
      </w:r>
    </w:p>
    <w:p>
      <w:pPr>
        <w:keepNext w:val="0"/>
        <w:keepLines w:val="0"/>
        <w:pageBreakBefore w:val="0"/>
        <w:kinsoku/>
        <w:wordWrap/>
        <w:overflowPunct/>
        <w:topLinePunct w:val="0"/>
        <w:bidi w:val="0"/>
        <w:spacing w:line="360" w:lineRule="auto"/>
        <w:ind w:firstLine="481"/>
        <w:rPr>
          <w:rFonts w:hint="eastAsia" w:ascii="新宋体" w:hAnsi="新宋体" w:eastAsia="新宋体" w:cs="Times New Roman"/>
          <w:b/>
          <w:color w:val="auto"/>
          <w:kern w:val="2"/>
          <w:sz w:val="24"/>
          <w:szCs w:val="24"/>
          <w:highlight w:val="none"/>
          <w:lang w:val="en-US" w:eastAsia="zh-CN" w:bidi="ar-SA"/>
        </w:rPr>
      </w:pPr>
      <w:r>
        <w:rPr>
          <w:rFonts w:hint="eastAsia" w:ascii="新宋体" w:hAnsi="新宋体" w:eastAsia="新宋体" w:cs="Times New Roman"/>
          <w:b/>
          <w:color w:val="auto"/>
          <w:kern w:val="2"/>
          <w:sz w:val="24"/>
          <w:szCs w:val="24"/>
          <w:highlight w:val="none"/>
          <w:lang w:val="en-US" w:eastAsia="zh-CN" w:bidi="ar-SA"/>
        </w:rPr>
        <w:t>2、成交供应商须具备：</w:t>
      </w:r>
      <w:r>
        <w:rPr>
          <w:rFonts w:hint="eastAsia" w:ascii="新宋体" w:hAnsi="新宋体" w:eastAsia="新宋体"/>
          <w:b/>
          <w:color w:val="auto"/>
          <w:kern w:val="2"/>
          <w:sz w:val="24"/>
          <w:szCs w:val="24"/>
          <w:highlight w:val="none"/>
          <w:lang w:val="en-US" w:eastAsia="zh-CN" w:bidi="ar-SA"/>
        </w:rPr>
        <w:t>①</w:t>
      </w:r>
      <w:r>
        <w:rPr>
          <w:rFonts w:hint="eastAsia" w:ascii="新宋体" w:hAnsi="新宋体" w:eastAsia="新宋体" w:cs="Times New Roman"/>
          <w:b/>
          <w:color w:val="auto"/>
          <w:kern w:val="2"/>
          <w:sz w:val="24"/>
          <w:szCs w:val="24"/>
          <w:highlight w:val="none"/>
          <w:lang w:val="en-US" w:eastAsia="zh-CN" w:bidi="ar-SA"/>
        </w:rPr>
        <w:t>至少1辆车辆为采购人提供送货服务；</w:t>
      </w:r>
      <w:r>
        <w:rPr>
          <w:rFonts w:hint="eastAsia" w:ascii="新宋体" w:hAnsi="新宋体" w:eastAsia="新宋体"/>
          <w:b/>
          <w:color w:val="auto"/>
          <w:kern w:val="2"/>
          <w:sz w:val="24"/>
          <w:szCs w:val="24"/>
          <w:highlight w:val="none"/>
          <w:lang w:val="en-US" w:eastAsia="zh-CN" w:bidi="ar-SA"/>
        </w:rPr>
        <w:t>②1名</w:t>
      </w:r>
      <w:r>
        <w:rPr>
          <w:rFonts w:hint="eastAsia" w:ascii="新宋体" w:hAnsi="新宋体" w:eastAsia="新宋体" w:cs="Times New Roman"/>
          <w:b/>
          <w:color w:val="auto"/>
          <w:kern w:val="2"/>
          <w:sz w:val="24"/>
          <w:szCs w:val="24"/>
          <w:highlight w:val="none"/>
          <w:lang w:val="en-US" w:eastAsia="zh-CN" w:bidi="ar-SA"/>
        </w:rPr>
        <w:t>固定人员与采购人进行对接：服务期内服务人员不得随意更换，如需更换，须至少提前半个月征得采购人同意。</w:t>
      </w:r>
    </w:p>
    <w:p>
      <w:pPr>
        <w:keepNext w:val="0"/>
        <w:keepLines w:val="0"/>
        <w:pageBreakBefore w:val="0"/>
        <w:kinsoku/>
        <w:wordWrap/>
        <w:overflowPunct/>
        <w:topLinePunct w:val="0"/>
        <w:bidi w:val="0"/>
        <w:spacing w:line="360" w:lineRule="auto"/>
        <w:ind w:firstLine="481"/>
        <w:rPr>
          <w:rFonts w:hint="eastAsia" w:ascii="新宋体" w:hAnsi="新宋体" w:eastAsia="新宋体"/>
          <w:b/>
          <w:color w:val="auto"/>
          <w:kern w:val="2"/>
          <w:sz w:val="24"/>
          <w:szCs w:val="24"/>
          <w:highlight w:val="none"/>
          <w:lang w:val="en-US" w:eastAsia="zh-CN" w:bidi="ar-SA"/>
        </w:rPr>
      </w:pPr>
      <w:r>
        <w:rPr>
          <w:rFonts w:hint="eastAsia" w:ascii="新宋体" w:hAnsi="新宋体" w:eastAsia="新宋体"/>
          <w:b/>
          <w:color w:val="auto"/>
          <w:kern w:val="2"/>
          <w:sz w:val="24"/>
          <w:szCs w:val="24"/>
          <w:highlight w:val="none"/>
          <w:lang w:val="en-US" w:eastAsia="zh-CN" w:bidi="ar-SA"/>
        </w:rPr>
        <w:t xml:space="preserve">3、验收结果经采购人、成交供应商双方确认后，如发现材料与合同约定不符，采购人有权拒绝接受，成交供应商须承担违约责任。如药品在有效期内被证明存在缺陷，包括潜在缺陷或使用不合适的，成交供应商应在接到采购人通知后三个工作日内负责解决。  </w:t>
      </w:r>
    </w:p>
    <w:p>
      <w:pPr>
        <w:keepNext w:val="0"/>
        <w:keepLines w:val="0"/>
        <w:pageBreakBefore w:val="0"/>
        <w:kinsoku/>
        <w:wordWrap/>
        <w:overflowPunct/>
        <w:topLinePunct w:val="0"/>
        <w:bidi w:val="0"/>
        <w:spacing w:line="360" w:lineRule="auto"/>
        <w:ind w:firstLine="481"/>
        <w:rPr>
          <w:rFonts w:hint="eastAsia" w:ascii="新宋体" w:hAnsi="新宋体" w:eastAsia="新宋体"/>
          <w:b/>
          <w:color w:val="auto"/>
          <w:kern w:val="2"/>
          <w:sz w:val="24"/>
          <w:szCs w:val="24"/>
          <w:highlight w:val="none"/>
          <w:lang w:val="en-US" w:eastAsia="zh-CN" w:bidi="ar-SA"/>
        </w:rPr>
      </w:pPr>
      <w:r>
        <w:rPr>
          <w:rFonts w:hint="eastAsia" w:ascii="新宋体" w:hAnsi="新宋体" w:eastAsia="新宋体"/>
          <w:b/>
          <w:color w:val="auto"/>
          <w:kern w:val="2"/>
          <w:sz w:val="24"/>
          <w:szCs w:val="24"/>
          <w:highlight w:val="none"/>
          <w:lang w:val="en-US" w:eastAsia="zh-CN" w:bidi="ar-SA"/>
        </w:rPr>
        <w:t>4、采购人按照药品管理法相关的验收制度验收，原装缺损及其他不符合要求的，有效期不符合要求的药品，采购人有权拒绝收货，需及时更换被拒绝药品，不得影响采购人用药。</w:t>
      </w:r>
    </w:p>
    <w:p>
      <w:pPr>
        <w:keepNext w:val="0"/>
        <w:keepLines w:val="0"/>
        <w:pageBreakBefore w:val="0"/>
        <w:widowControl/>
        <w:kinsoku/>
        <w:wordWrap/>
        <w:overflowPunct/>
        <w:topLinePunct w:val="0"/>
        <w:bidi w:val="0"/>
        <w:spacing w:line="360" w:lineRule="auto"/>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pPr>
        <w:pStyle w:val="9"/>
        <w:keepNext w:val="0"/>
        <w:keepLines w:val="0"/>
        <w:pageBreakBefore w:val="0"/>
        <w:kinsoku/>
        <w:wordWrap/>
        <w:overflowPunct/>
        <w:topLinePunct w:val="0"/>
        <w:bidi w:val="0"/>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1.交付地点：采购人指定地点。</w:t>
      </w:r>
    </w:p>
    <w:p>
      <w:pPr>
        <w:pStyle w:val="9"/>
        <w:keepNext w:val="0"/>
        <w:keepLines w:val="0"/>
        <w:pageBreakBefore w:val="0"/>
        <w:kinsoku/>
        <w:wordWrap/>
        <w:overflowPunct/>
        <w:topLinePunct w:val="0"/>
        <w:bidi w:val="0"/>
        <w:spacing w:after="0" w:line="360" w:lineRule="auto"/>
        <w:ind w:left="0" w:leftChars="0"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2.</w:t>
      </w:r>
      <w:r>
        <w:rPr>
          <w:rFonts w:hint="eastAsia" w:ascii="宋体" w:hAnsi="宋体" w:cs="宋体"/>
          <w:b/>
          <w:bCs/>
          <w:color w:val="auto"/>
          <w:kern w:val="0"/>
          <w:sz w:val="24"/>
          <w:highlight w:val="none"/>
          <w:lang w:eastAsia="zh-CN"/>
        </w:rPr>
        <w:t>服务期限</w:t>
      </w:r>
      <w:r>
        <w:rPr>
          <w:rFonts w:hint="eastAsia" w:ascii="宋体" w:hAnsi="宋体" w:cs="宋体"/>
          <w:b/>
          <w:bCs/>
          <w:color w:val="auto"/>
          <w:kern w:val="0"/>
          <w:sz w:val="24"/>
          <w:highlight w:val="none"/>
        </w:rPr>
        <w:t>：成交</w:t>
      </w:r>
      <w:r>
        <w:rPr>
          <w:rFonts w:hint="eastAsia" w:ascii="宋体" w:hAnsi="宋体" w:cs="宋体"/>
          <w:b/>
          <w:bCs/>
          <w:color w:val="auto"/>
          <w:kern w:val="0"/>
          <w:sz w:val="24"/>
          <w:highlight w:val="none"/>
          <w:lang w:eastAsia="zh-CN"/>
        </w:rPr>
        <w:t>供应商</w:t>
      </w:r>
      <w:r>
        <w:rPr>
          <w:rFonts w:hint="eastAsia" w:ascii="宋体" w:hAnsi="宋体" w:cs="宋体"/>
          <w:b/>
          <w:bCs/>
          <w:color w:val="auto"/>
          <w:kern w:val="0"/>
          <w:sz w:val="24"/>
          <w:highlight w:val="none"/>
        </w:rPr>
        <w:t>按照配送相关要求对采购人提供服务，每次配送时间和数量以采购人订单为准。采购人在每次订购药品前5天内通知成交</w:t>
      </w:r>
      <w:r>
        <w:rPr>
          <w:rFonts w:hint="eastAsia" w:ascii="宋体" w:hAnsi="宋体" w:cs="宋体"/>
          <w:b/>
          <w:bCs/>
          <w:color w:val="auto"/>
          <w:kern w:val="0"/>
          <w:sz w:val="24"/>
          <w:highlight w:val="none"/>
          <w:lang w:eastAsia="zh-CN"/>
        </w:rPr>
        <w:t>供应商</w:t>
      </w:r>
      <w:r>
        <w:rPr>
          <w:rFonts w:hint="eastAsia" w:ascii="宋体" w:hAnsi="宋体" w:cs="宋体"/>
          <w:b/>
          <w:bCs/>
          <w:color w:val="auto"/>
          <w:kern w:val="0"/>
          <w:sz w:val="24"/>
          <w:highlight w:val="none"/>
        </w:rPr>
        <w:t>，紧急情况下的送货要求以采购人实际通知时间为准。</w:t>
      </w:r>
    </w:p>
    <w:p>
      <w:pPr>
        <w:pStyle w:val="9"/>
        <w:keepNext w:val="0"/>
        <w:keepLines w:val="0"/>
        <w:pageBreakBefore w:val="0"/>
        <w:kinsoku/>
        <w:wordWrap/>
        <w:overflowPunct/>
        <w:topLinePunct w:val="0"/>
        <w:bidi w:val="0"/>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3.交付条件：验收合格。</w:t>
      </w:r>
    </w:p>
    <w:p>
      <w:pPr>
        <w:pStyle w:val="9"/>
        <w:keepNext w:val="0"/>
        <w:keepLines w:val="0"/>
        <w:pageBreakBefore w:val="0"/>
        <w:kinsoku/>
        <w:wordWrap/>
        <w:overflowPunct/>
        <w:topLinePunct w:val="0"/>
        <w:bidi w:val="0"/>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pPr>
        <w:keepNext w:val="0"/>
        <w:keepLines w:val="0"/>
        <w:pageBreakBefore w:val="0"/>
        <w:kinsoku/>
        <w:wordWrap/>
        <w:overflowPunct/>
        <w:topLinePunct w:val="0"/>
        <w:autoSpaceDE/>
        <w:autoSpaceDN/>
        <w:bidi w:val="0"/>
        <w:adjustRightInd/>
        <w:snapToGrid/>
        <w:spacing w:line="360" w:lineRule="auto"/>
        <w:ind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5</w:t>
      </w:r>
      <w:r>
        <w:rPr>
          <w:rFonts w:hint="eastAsia" w:ascii="宋体" w:hAnsi="宋体" w:cs="宋体"/>
          <w:b/>
          <w:bCs/>
          <w:color w:val="auto"/>
          <w:kern w:val="0"/>
          <w:sz w:val="24"/>
          <w:highlight w:val="none"/>
        </w:rPr>
        <w:t>%履约保证金。履约保证金在成交供应商履行完合同约定的全部事项且双方无未了事项的前提下，采购人在收到成交供应商提交书面申请等材料后30日内无息退还。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.支付方式：按实结算，</w:t>
      </w:r>
      <w:r>
        <w:rPr>
          <w:rFonts w:hint="eastAsia" w:ascii="宋体" w:hAnsi="宋体"/>
          <w:b/>
          <w:bCs w:val="0"/>
          <w:color w:val="auto"/>
          <w:sz w:val="24"/>
          <w:highlight w:val="none"/>
          <w:lang w:eastAsia="zh-CN"/>
        </w:rPr>
        <w:t>实际结算价=各品最高限价总和×成交折扣×各品数量总和</w:t>
      </w:r>
      <w:r>
        <w:rPr>
          <w:rFonts w:hint="eastAsia" w:ascii="宋体" w:hAnsi="宋体" w:cs="宋体"/>
          <w:b/>
          <w:color w:val="auto"/>
          <w:sz w:val="24"/>
          <w:highlight w:val="none"/>
          <w:lang w:eastAsia="zh-CN"/>
        </w:rPr>
        <w:t>，</w:t>
      </w:r>
      <w:r>
        <w:rPr>
          <w:rFonts w:hint="eastAsia" w:ascii="宋体" w:hAnsi="宋体" w:cs="宋体"/>
          <w:b/>
          <w:bCs/>
          <w:color w:val="auto"/>
          <w:sz w:val="24"/>
          <w:highlight w:val="none"/>
        </w:rPr>
        <w:t>每三个月结算一次，成交</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须于每个结算周期结束后的15日内完成对账，并于对账结算的10日内开具增值税普通发票。采购人在收到完整齐全的发票和相关材料后10个工作日内转账支付。</w:t>
      </w:r>
    </w:p>
    <w:p>
      <w:pPr>
        <w:keepNext w:val="0"/>
        <w:keepLines w:val="0"/>
        <w:pageBreakBefore w:val="0"/>
        <w:widowControl/>
        <w:tabs>
          <w:tab w:val="left" w:pos="900"/>
          <w:tab w:val="left" w:pos="1100"/>
        </w:tabs>
        <w:kinsoku/>
        <w:wordWrap/>
        <w:overflowPunct/>
        <w:topLinePunct w:val="0"/>
        <w:bidi w:val="0"/>
        <w:spacing w:line="360" w:lineRule="auto"/>
        <w:ind w:firstLine="482" w:firstLineChars="200"/>
        <w:jc w:val="left"/>
        <w:textAlignment w:val="baseline"/>
        <w:rPr>
          <w:rFonts w:ascii="宋体" w:hAnsi="宋体" w:cs="宋体"/>
          <w:b w:val="0"/>
          <w:bCs w:val="0"/>
          <w:color w:val="auto"/>
          <w:sz w:val="24"/>
          <w:highlight w:val="none"/>
        </w:rPr>
      </w:pPr>
      <w:r>
        <w:rPr>
          <w:rFonts w:hint="eastAsia" w:ascii="宋体" w:hAnsi="宋体" w:cs="宋体"/>
          <w:b/>
          <w:bCs/>
          <w:color w:val="auto"/>
          <w:sz w:val="24"/>
          <w:highlight w:val="none"/>
          <w:lang w:val="en-US" w:eastAsia="zh-CN"/>
        </w:rPr>
        <w:t>6.</w:t>
      </w:r>
      <w:r>
        <w:rPr>
          <w:rFonts w:hint="eastAsia" w:cs="仿宋" w:asciiTheme="minorEastAsia" w:hAnsiTheme="minorEastAsia" w:eastAsiaTheme="minorEastAsia"/>
          <w:b/>
          <w:bCs/>
          <w:color w:val="auto"/>
          <w:sz w:val="24"/>
          <w:highlight w:val="none"/>
        </w:rPr>
        <w:t>验收方式</w:t>
      </w:r>
      <w:r>
        <w:rPr>
          <w:rFonts w:hint="eastAsia" w:cs="仿宋" w:asciiTheme="minorEastAsia" w:hAnsiTheme="minorEastAsia" w:eastAsiaTheme="minorEastAsia"/>
          <w:b w:val="0"/>
          <w:bCs w:val="0"/>
          <w:color w:val="auto"/>
          <w:sz w:val="24"/>
          <w:highlight w:val="none"/>
          <w:lang w:eastAsia="zh-CN"/>
        </w:rPr>
        <w:t>：</w:t>
      </w:r>
      <w:r>
        <w:rPr>
          <w:rFonts w:hint="eastAsia" w:ascii="新宋体" w:hAnsi="新宋体" w:eastAsia="新宋体"/>
          <w:b/>
          <w:color w:val="auto"/>
          <w:kern w:val="2"/>
          <w:sz w:val="24"/>
          <w:szCs w:val="24"/>
          <w:highlight w:val="none"/>
          <w:lang w:val="en-US" w:eastAsia="zh-CN" w:bidi="ar-SA"/>
        </w:rPr>
        <w:t>按照药品管理法相关的验收制度验收</w:t>
      </w:r>
      <w:r>
        <w:rPr>
          <w:rFonts w:hint="eastAsia" w:ascii="宋体" w:hAnsi="宋体" w:cs="宋体"/>
          <w:b/>
          <w:bCs/>
          <w:color w:val="auto"/>
          <w:sz w:val="24"/>
          <w:highlight w:val="none"/>
        </w:rPr>
        <w:t>。</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⑴成交供应商符合验收条件的，采购人应严格按照网上竞价文件要求在双方约定的时间内进行验收，采购人无正当理由不得无故拖延验收时间。</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⑵成交供应商所提供的服务不符合合同要求且拒不整改的，采购人有权单方面解除合同且不退还其履约保证金。</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 xml:space="preserve">⑶成交供应商未经采购人同意单方面终止合同的，采购人将不予退还其履约保证金。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20" w:firstLineChars="200"/>
        <w:jc w:val="left"/>
        <w:textAlignment w:val="auto"/>
        <w:rPr>
          <w:rFonts w:hint="eastAsia" w:ascii="宋体" w:hAnsi="宋体" w:eastAsia="宋体" w:cs="宋体"/>
          <w:color w:val="auto"/>
          <w:kern w:val="0"/>
          <w:sz w:val="24"/>
          <w:szCs w:val="24"/>
          <w:highlight w:val="none"/>
          <w:u w:val="none"/>
          <w:lang w:val="en-US" w:eastAsia="zh-CN"/>
        </w:rPr>
      </w:pPr>
      <w:r>
        <w:rPr>
          <w:rFonts w:hint="eastAsia"/>
          <w:b w:val="0"/>
          <w:bCs w:val="0"/>
          <w:color w:val="auto"/>
          <w:highlight w:val="none"/>
          <w:lang w:val="en-US" w:eastAsia="zh-CN"/>
        </w:rPr>
        <w:t>⑷</w:t>
      </w:r>
      <w:r>
        <w:rPr>
          <w:rFonts w:hint="eastAsia" w:ascii="宋体" w:hAnsi="宋体" w:cs="宋体"/>
          <w:b w:val="0"/>
          <w:bCs w:val="0"/>
          <w:color w:val="auto"/>
          <w:kern w:val="0"/>
          <w:sz w:val="24"/>
          <w:highlight w:val="none"/>
          <w:lang w:val="en-US" w:eastAsia="zh-CN"/>
        </w:rPr>
        <w:t>成交供应商</w:t>
      </w:r>
      <w:r>
        <w:rPr>
          <w:rFonts w:hint="eastAsia" w:ascii="宋体" w:hAnsi="宋体" w:eastAsia="宋体" w:cs="宋体"/>
          <w:color w:val="auto"/>
          <w:kern w:val="0"/>
          <w:sz w:val="24"/>
          <w:szCs w:val="24"/>
          <w:highlight w:val="none"/>
          <w:u w:val="none"/>
          <w:lang w:val="en-US" w:eastAsia="zh-CN"/>
        </w:rPr>
        <w:t>提供的货物检验</w:t>
      </w:r>
      <w:r>
        <w:rPr>
          <w:rFonts w:hint="eastAsia" w:ascii="宋体" w:hAnsi="宋体" w:cs="宋体"/>
          <w:color w:val="auto"/>
          <w:kern w:val="0"/>
          <w:sz w:val="24"/>
          <w:szCs w:val="24"/>
          <w:highlight w:val="none"/>
          <w:u w:val="none"/>
          <w:lang w:val="en-US" w:eastAsia="zh-CN"/>
        </w:rPr>
        <w:t>报告</w:t>
      </w:r>
      <w:r>
        <w:rPr>
          <w:rFonts w:hint="eastAsia" w:ascii="宋体" w:hAnsi="宋体" w:eastAsia="宋体" w:cs="宋体"/>
          <w:color w:val="auto"/>
          <w:kern w:val="0"/>
          <w:sz w:val="24"/>
          <w:szCs w:val="24"/>
          <w:highlight w:val="none"/>
          <w:u w:val="none"/>
          <w:lang w:val="en-US" w:eastAsia="zh-CN"/>
        </w:rPr>
        <w:t>、合格证、发票经查证系虚假的，每品种每批次向</w:t>
      </w:r>
      <w:r>
        <w:rPr>
          <w:rFonts w:hint="eastAsia" w:ascii="宋体" w:hAnsi="宋体" w:cs="宋体"/>
          <w:color w:val="auto"/>
          <w:kern w:val="0"/>
          <w:sz w:val="24"/>
          <w:szCs w:val="24"/>
          <w:highlight w:val="none"/>
          <w:u w:val="none"/>
          <w:lang w:val="en-US" w:eastAsia="zh-CN"/>
        </w:rPr>
        <w:t>采购人</w:t>
      </w:r>
      <w:r>
        <w:rPr>
          <w:rFonts w:hint="eastAsia" w:ascii="宋体" w:hAnsi="宋体" w:eastAsia="宋体" w:cs="宋体"/>
          <w:color w:val="auto"/>
          <w:kern w:val="0"/>
          <w:sz w:val="24"/>
          <w:szCs w:val="24"/>
          <w:highlight w:val="none"/>
          <w:u w:val="none"/>
          <w:lang w:val="en-US" w:eastAsia="zh-CN"/>
        </w:rPr>
        <w:t>支付违约金</w:t>
      </w:r>
      <w:r>
        <w:rPr>
          <w:rFonts w:hint="eastAsia" w:ascii="宋体" w:hAnsi="宋体" w:cs="宋体"/>
          <w:color w:val="auto"/>
          <w:kern w:val="0"/>
          <w:sz w:val="24"/>
          <w:szCs w:val="24"/>
          <w:highlight w:val="none"/>
          <w:u w:val="none"/>
          <w:lang w:val="en-US" w:eastAsia="zh-CN"/>
        </w:rPr>
        <w:t>1000</w:t>
      </w:r>
      <w:r>
        <w:rPr>
          <w:rFonts w:hint="eastAsia" w:ascii="宋体" w:hAnsi="宋体" w:eastAsia="宋体" w:cs="宋体"/>
          <w:color w:val="auto"/>
          <w:kern w:val="0"/>
          <w:sz w:val="24"/>
          <w:szCs w:val="24"/>
          <w:highlight w:val="none"/>
          <w:u w:val="none"/>
          <w:lang w:val="en-US" w:eastAsia="zh-CN"/>
        </w:rPr>
        <w:t>元并承担相应法律责任。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⑸签订合同后因</w:t>
      </w:r>
      <w:r>
        <w:rPr>
          <w:rFonts w:hint="eastAsia" w:ascii="宋体" w:hAnsi="宋体" w:cs="宋体"/>
          <w:b w:val="0"/>
          <w:bCs w:val="0"/>
          <w:color w:val="auto"/>
          <w:kern w:val="0"/>
          <w:sz w:val="24"/>
          <w:szCs w:val="24"/>
          <w:highlight w:val="none"/>
          <w:lang w:val="en-US" w:eastAsia="zh-CN" w:bidi="ar-SA"/>
        </w:rPr>
        <w:t>成交供应商</w:t>
      </w:r>
      <w:r>
        <w:rPr>
          <w:rFonts w:hint="eastAsia" w:ascii="宋体" w:hAnsi="宋体" w:eastAsia="宋体" w:cs="宋体"/>
          <w:b w:val="0"/>
          <w:bCs w:val="0"/>
          <w:color w:val="auto"/>
          <w:kern w:val="0"/>
          <w:sz w:val="24"/>
          <w:szCs w:val="24"/>
          <w:highlight w:val="none"/>
          <w:lang w:val="en-US" w:eastAsia="zh-CN" w:bidi="ar-SA"/>
        </w:rPr>
        <w:t>任何违约行为导致本合同无法正常继续履行或提前终止，采购人有权不予退还履约保证金。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⑹逾期送货的违约责任：成交供应商按照配送相关要求对采购人提供服务，每次配送时间和数量以采购人订单为准。采购人会在每次订购药品前5天通知成交供应商，紧急情况下的送货要求以采购人实际通知时间为准。成交供应商未按采购人通知时间送药品，每逾期一次，成交供应商应向采购人支付每次200元违约金，逾期超过3次的（含），采购人有权单方解除合同并不退还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cs="宋体"/>
          <w:b w:val="0"/>
          <w:bCs w:val="0"/>
          <w:color w:val="auto"/>
          <w:kern w:val="0"/>
          <w:sz w:val="24"/>
          <w:szCs w:val="24"/>
          <w:highlight w:val="none"/>
          <w:lang w:val="en-US" w:eastAsia="zh-CN" w:bidi="ar-SA"/>
        </w:rPr>
        <w:t>⑺药品质量的违约责任：成交供应商所提供的药品应符合药典标准或者国家食品药品监督管理部门规定的标准，并附有该药品检验报告书，确保临床用药安全有效。如药品不符合本合同约定的要求，采购人有权拒绝接受，同时，成交供应商向采购人支付本季度应付费用的20%的违约金。</w:t>
      </w:r>
    </w:p>
    <w:p>
      <w:pPr>
        <w:pStyle w:val="19"/>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cs="仿宋" w:asciiTheme="minorEastAsia" w:hAnsiTheme="minorEastAsia" w:eastAsiaTheme="minorEastAsia"/>
          <w:color w:val="auto"/>
          <w:sz w:val="24"/>
          <w:highlight w:val="none"/>
          <w:lang w:eastAsia="zh-CN"/>
        </w:rPr>
      </w:pPr>
      <w:r>
        <w:rPr>
          <w:rFonts w:hint="eastAsia" w:cs="仿宋" w:asciiTheme="minorEastAsia" w:hAnsiTheme="minorEastAsia" w:eastAsiaTheme="minorEastAsia"/>
          <w:color w:val="auto"/>
          <w:sz w:val="24"/>
          <w:highlight w:val="none"/>
          <w:lang w:eastAsia="zh-CN"/>
        </w:rPr>
        <w:t>⑻成交供应商进入采购人监管区的工作人员必须遵守采购人的工作制度和监管区安全规定，服从采购人的指挥。不得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予退还履约保证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lang w:eastAsia="zh-CN"/>
        </w:rPr>
      </w:pPr>
      <w:r>
        <w:rPr>
          <w:rFonts w:hint="eastAsia" w:cs="仿宋" w:asciiTheme="minorEastAsia" w:hAnsiTheme="minorEastAsia" w:eastAsiaTheme="minorEastAsia"/>
          <w:color w:val="auto"/>
          <w:sz w:val="24"/>
          <w:highlight w:val="none"/>
          <w:lang w:eastAsia="zh-CN"/>
        </w:rPr>
        <w:t>⑼</w:t>
      </w:r>
      <w:r>
        <w:rPr>
          <w:rFonts w:hint="eastAsia" w:ascii="宋体" w:hAnsi="宋体" w:cs="宋体"/>
          <w:color w:val="auto"/>
          <w:kern w:val="0"/>
          <w:sz w:val="24"/>
          <w:highlight w:val="none"/>
          <w:shd w:val="clear"/>
          <w:lang w:eastAsia="zh-CN"/>
        </w:rPr>
        <w:t>成交供应商须按照承诺数量提供响应的固定车辆和对接人员</w:t>
      </w:r>
      <w:r>
        <w:rPr>
          <w:rFonts w:hint="eastAsia" w:ascii="宋体" w:hAnsi="宋体" w:cs="宋体"/>
          <w:color w:val="auto"/>
          <w:kern w:val="0"/>
          <w:sz w:val="24"/>
          <w:highlight w:val="none"/>
          <w:shd w:val="clear"/>
        </w:rPr>
        <w:t>，</w:t>
      </w:r>
      <w:r>
        <w:rPr>
          <w:rFonts w:hint="eastAsia" w:ascii="宋体" w:hAnsi="宋体" w:cs="宋体"/>
          <w:color w:val="auto"/>
          <w:kern w:val="0"/>
          <w:sz w:val="24"/>
          <w:highlight w:val="none"/>
        </w:rPr>
        <w:t>每发现</w:t>
      </w:r>
      <w:r>
        <w:rPr>
          <w:rFonts w:hint="eastAsia" w:ascii="宋体" w:hAnsi="宋体" w:cs="宋体"/>
          <w:color w:val="auto"/>
          <w:kern w:val="0"/>
          <w:sz w:val="24"/>
          <w:highlight w:val="none"/>
          <w:lang w:eastAsia="zh-CN"/>
        </w:rPr>
        <w:t>缺少</w:t>
      </w:r>
      <w:r>
        <w:rPr>
          <w:rFonts w:hint="eastAsia" w:ascii="宋体" w:hAnsi="宋体" w:cs="宋体"/>
          <w:color w:val="auto"/>
          <w:kern w:val="0"/>
          <w:sz w:val="24"/>
          <w:highlight w:val="none"/>
        </w:rPr>
        <w:t>1</w:t>
      </w:r>
      <w:r>
        <w:rPr>
          <w:rFonts w:hint="eastAsia" w:ascii="宋体" w:hAnsi="宋体" w:cs="宋体"/>
          <w:color w:val="auto"/>
          <w:kern w:val="0"/>
          <w:sz w:val="24"/>
          <w:highlight w:val="none"/>
          <w:lang w:eastAsia="zh-CN"/>
        </w:rPr>
        <w:t>辆或</w:t>
      </w:r>
      <w:r>
        <w:rPr>
          <w:rFonts w:hint="eastAsia" w:ascii="宋体" w:hAnsi="宋体" w:cs="宋体"/>
          <w:color w:val="auto"/>
          <w:kern w:val="0"/>
          <w:sz w:val="24"/>
          <w:highlight w:val="none"/>
          <w:lang w:val="en-US" w:eastAsia="zh-CN"/>
        </w:rPr>
        <w:t>1人</w:t>
      </w:r>
      <w:r>
        <w:rPr>
          <w:rFonts w:hint="eastAsia" w:ascii="宋体" w:hAnsi="宋体" w:cs="宋体"/>
          <w:color w:val="auto"/>
          <w:kern w:val="0"/>
          <w:sz w:val="24"/>
          <w:highlight w:val="none"/>
        </w:rPr>
        <w:t>，</w:t>
      </w:r>
      <w:r>
        <w:rPr>
          <w:rFonts w:hint="eastAsia" w:ascii="宋体" w:hAnsi="宋体" w:cs="宋体"/>
          <w:color w:val="auto"/>
          <w:kern w:val="0"/>
          <w:sz w:val="24"/>
          <w:highlight w:val="none"/>
          <w:shd w:val="clear"/>
          <w:lang w:eastAsia="zh-CN"/>
        </w:rPr>
        <w:t>成交供应商</w:t>
      </w:r>
      <w:r>
        <w:rPr>
          <w:rFonts w:hint="eastAsia" w:ascii="宋体" w:hAnsi="宋体" w:cs="宋体"/>
          <w:color w:val="auto"/>
          <w:kern w:val="0"/>
          <w:sz w:val="24"/>
          <w:highlight w:val="none"/>
        </w:rPr>
        <w:t>需支付违约金5000元。发现2次，</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有权单方面解除合同，且履约保证金不予退还。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lang w:eastAsia="zh-CN"/>
        </w:rPr>
        <w:t>⑽成交供应商</w:t>
      </w:r>
      <w:r>
        <w:rPr>
          <w:rFonts w:hint="eastAsia" w:cs="宋体" w:asciiTheme="minorEastAsia" w:hAnsiTheme="minorEastAsia" w:eastAsiaTheme="minorEastAsia"/>
          <w:color w:val="auto"/>
          <w:sz w:val="24"/>
          <w:highlight w:val="none"/>
        </w:rPr>
        <w:t>不得将本项目进行分包或转包，如发现经查实，采购人有权单方解除合同</w:t>
      </w:r>
      <w:r>
        <w:rPr>
          <w:rFonts w:hint="eastAsia" w:cs="仿宋" w:asciiTheme="minorEastAsia" w:hAnsiTheme="minorEastAsia" w:eastAsiaTheme="minorEastAsia"/>
          <w:color w:val="auto"/>
          <w:sz w:val="24"/>
          <w:highlight w:val="none"/>
          <w:lang w:eastAsia="zh-CN"/>
        </w:rPr>
        <w:t>并不予退还履约保证金</w:t>
      </w:r>
      <w:r>
        <w:rPr>
          <w:rFonts w:hint="eastAsia" w:cs="宋体" w:asciiTheme="minorEastAsia" w:hAnsiTheme="minorEastAsia" w:eastAsiaTheme="minorEastAsia"/>
          <w:color w:val="auto"/>
          <w:sz w:val="24"/>
          <w:highlight w:val="none"/>
        </w:rPr>
        <w:t>，</w:t>
      </w:r>
      <w:r>
        <w:rPr>
          <w:rFonts w:hint="eastAsia" w:asciiTheme="minorEastAsia" w:hAnsiTheme="minorEastAsia" w:eastAsiaTheme="minorEastAsia"/>
          <w:color w:val="auto"/>
          <w:spacing w:val="10"/>
          <w:sz w:val="24"/>
          <w:highlight w:val="none"/>
          <w:lang w:eastAsia="zh-CN"/>
        </w:rPr>
        <w:t>成交供应商</w:t>
      </w:r>
      <w:r>
        <w:rPr>
          <w:rFonts w:hint="eastAsia" w:asciiTheme="minorEastAsia" w:hAnsiTheme="minorEastAsia" w:eastAsiaTheme="minorEastAsia"/>
          <w:color w:val="auto"/>
          <w:spacing w:val="10"/>
          <w:sz w:val="24"/>
          <w:highlight w:val="none"/>
        </w:rPr>
        <w:t>给</w:t>
      </w:r>
      <w:r>
        <w:rPr>
          <w:rFonts w:hint="eastAsia" w:asciiTheme="minorEastAsia" w:hAnsiTheme="minorEastAsia" w:eastAsiaTheme="minorEastAsia"/>
          <w:color w:val="auto"/>
          <w:spacing w:val="10"/>
          <w:sz w:val="24"/>
          <w:highlight w:val="none"/>
          <w:lang w:eastAsia="zh-CN"/>
        </w:rPr>
        <w:t>采购人</w:t>
      </w:r>
      <w:r>
        <w:rPr>
          <w:rFonts w:hint="eastAsia" w:asciiTheme="minorEastAsia" w:hAnsiTheme="minorEastAsia" w:eastAsiaTheme="minorEastAsia"/>
          <w:color w:val="auto"/>
          <w:spacing w:val="10"/>
          <w:sz w:val="24"/>
          <w:highlight w:val="none"/>
        </w:rPr>
        <w:t>造成损失的，还应承担损失赔偿责任。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eastAsiaTheme="minorEastAsia"/>
          <w:color w:val="auto"/>
          <w:sz w:val="24"/>
          <w:highlight w:val="none"/>
        </w:rPr>
      </w:pPr>
      <w:r>
        <w:rPr>
          <w:rFonts w:hint="eastAsia" w:cs="仿宋" w:asciiTheme="minorEastAsia" w:hAnsiTheme="minorEastAsia" w:eastAsiaTheme="minorEastAsia"/>
          <w:color w:val="auto"/>
          <w:sz w:val="24"/>
          <w:highlight w:val="none"/>
          <w:lang w:eastAsia="zh-CN"/>
        </w:rPr>
        <w:t>⑾</w:t>
      </w:r>
      <w:r>
        <w:rPr>
          <w:rFonts w:hint="eastAsia" w:cs="宋体" w:asciiTheme="minorEastAsia" w:hAnsiTheme="minorEastAsia" w:eastAsiaTheme="minorEastAsia"/>
          <w:color w:val="auto"/>
          <w:sz w:val="24"/>
          <w:highlight w:val="none"/>
        </w:rPr>
        <w:t>在合同履行期间，若遇政府部门或上级单位出台有关该项目的政策调整，继续履行合同违反相关政策文件要求的，采购人须提前10日通知</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终止合同，因此造成的合同解除采购人不承担违约责任。</w:t>
      </w:r>
    </w:p>
    <w:p>
      <w:pPr>
        <w:pStyle w:val="1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b w:val="0"/>
          <w:bCs w:val="0"/>
          <w:color w:val="auto"/>
          <w:highlight w:val="none"/>
          <w:lang w:val="en-US" w:eastAsia="zh-CN"/>
        </w:rPr>
      </w:pPr>
      <w:r>
        <w:rPr>
          <w:rFonts w:hint="eastAsia"/>
          <w:b w:val="0"/>
          <w:bCs w:val="0"/>
          <w:color w:val="auto"/>
          <w:highlight w:val="none"/>
          <w:lang w:val="en-US" w:eastAsia="zh-CN"/>
        </w:rPr>
        <w:t>⑿除上述具体违约情形外，成交供应商出现不符合网上竞价文件、响应文件、合同要求的其他情形，每发现一次，需向采购人支付违约金2000元。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b w:val="0"/>
          <w:bCs w:val="0"/>
          <w:color w:val="auto"/>
          <w:highlight w:val="none"/>
          <w:lang w:val="en-US" w:eastAsia="zh-CN"/>
        </w:rPr>
      </w:pPr>
      <w:r>
        <w:rPr>
          <w:rFonts w:hint="eastAsia" w:cs="仿宋" w:asciiTheme="minorEastAsia" w:hAnsiTheme="minorEastAsia" w:eastAsiaTheme="minorEastAsia"/>
          <w:color w:val="auto"/>
          <w:sz w:val="24"/>
          <w:highlight w:val="none"/>
          <w:lang w:eastAsia="zh-CN"/>
        </w:rPr>
        <w:t>⒀</w:t>
      </w:r>
      <w:r>
        <w:rPr>
          <w:rFonts w:hint="eastAsia" w:cs="宋体" w:asciiTheme="minorEastAsia" w:hAnsiTheme="minorEastAsia" w:eastAsiaTheme="minorEastAsia"/>
          <w:color w:val="auto"/>
          <w:sz w:val="24"/>
          <w:highlight w:val="none"/>
        </w:rPr>
        <w:t>违约金采购人有权直接从应支付</w:t>
      </w:r>
      <w:r>
        <w:rPr>
          <w:rFonts w:hint="eastAsia" w:cs="宋体" w:asciiTheme="minorEastAsia" w:hAnsiTheme="minorEastAsia" w:eastAsiaTheme="minorEastAsia"/>
          <w:color w:val="auto"/>
          <w:sz w:val="24"/>
          <w:highlight w:val="none"/>
          <w:lang w:eastAsia="zh-CN"/>
        </w:rPr>
        <w:t>成交供应商</w:t>
      </w:r>
      <w:r>
        <w:rPr>
          <w:rFonts w:hint="eastAsia" w:cs="宋体" w:asciiTheme="minorEastAsia" w:hAnsiTheme="minorEastAsia" w:eastAsiaTheme="minorEastAsia"/>
          <w:color w:val="auto"/>
          <w:sz w:val="24"/>
          <w:highlight w:val="none"/>
        </w:rPr>
        <w:t>的费用中扣除。</w:t>
      </w:r>
    </w:p>
    <w:p>
      <w:pPr>
        <w:pStyle w:val="16"/>
        <w:keepNext w:val="0"/>
        <w:keepLines w:val="0"/>
        <w:pageBreakBefore w:val="0"/>
        <w:kinsoku/>
        <w:wordWrap/>
        <w:overflowPunct/>
        <w:topLinePunct w:val="0"/>
        <w:bidi w:val="0"/>
        <w:spacing w:before="0" w:beforeAutospacing="0" w:after="0" w:afterAutospacing="0" w:line="360" w:lineRule="auto"/>
        <w:ind w:firstLine="482" w:firstLineChars="200"/>
        <w:rPr>
          <w:color w:val="auto"/>
          <w:highlight w:val="none"/>
        </w:rPr>
      </w:pPr>
      <w:r>
        <w:rPr>
          <w:rFonts w:hint="eastAsia"/>
          <w:b/>
          <w:bCs/>
          <w:color w:val="auto"/>
          <w:highlight w:val="none"/>
          <w:lang w:val="en-US" w:eastAsia="zh-CN"/>
        </w:rPr>
        <w:t>8</w:t>
      </w:r>
      <w:r>
        <w:rPr>
          <w:rStyle w:val="23"/>
          <w:rFonts w:hint="eastAsia"/>
          <w:color w:val="auto"/>
          <w:highlight w:val="none"/>
        </w:rPr>
        <w:t>.诉讼相关费用承担：</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keepNext w:val="0"/>
        <w:keepLines w:val="0"/>
        <w:pageBreakBefore w:val="0"/>
        <w:kinsoku/>
        <w:wordWrap/>
        <w:overflowPunct/>
        <w:topLinePunct w:val="0"/>
        <w:bidi w:val="0"/>
        <w:spacing w:before="0" w:beforeAutospacing="0" w:after="0" w:afterAutospacing="0" w:line="360" w:lineRule="auto"/>
        <w:ind w:firstLine="482" w:firstLineChars="200"/>
        <w:rPr>
          <w:b/>
          <w:bCs/>
          <w:color w:val="auto"/>
          <w:highlight w:val="none"/>
        </w:rPr>
      </w:pPr>
      <w:r>
        <w:rPr>
          <w:rFonts w:hint="eastAsia"/>
          <w:b/>
          <w:bCs/>
          <w:color w:val="auto"/>
          <w:highlight w:val="none"/>
          <w:lang w:val="en-US" w:eastAsia="zh-CN"/>
        </w:rPr>
        <w:t>9</w:t>
      </w:r>
      <w:r>
        <w:rPr>
          <w:rFonts w:hint="eastAsia"/>
          <w:b/>
          <w:bCs/>
          <w:color w:val="auto"/>
          <w:highlight w:val="none"/>
        </w:rPr>
        <w:t>.</w:t>
      </w:r>
      <w:r>
        <w:rPr>
          <w:rFonts w:hint="eastAsia"/>
          <w:b/>
          <w:bCs/>
          <w:color w:val="auto"/>
          <w:highlight w:val="none"/>
          <w:lang w:val="zh-TW"/>
        </w:rPr>
        <w:t>不可抗力</w:t>
      </w:r>
      <w:r>
        <w:rPr>
          <w:rFonts w:hint="eastAsia"/>
          <w:b/>
          <w:bCs/>
          <w:color w:val="auto"/>
          <w:highlight w:val="none"/>
        </w:rPr>
        <w:t>：</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keepNext w:val="0"/>
        <w:keepLines w:val="0"/>
        <w:pageBreakBefore w:val="0"/>
        <w:kinsoku/>
        <w:wordWrap/>
        <w:overflowPunct/>
        <w:topLinePunct w:val="0"/>
        <w:bidi w:val="0"/>
        <w:spacing w:before="0" w:beforeAutospacing="0" w:after="0" w:afterAutospacing="0" w:line="360" w:lineRule="auto"/>
        <w:ind w:firstLine="482" w:firstLineChars="200"/>
        <w:rPr>
          <w:rStyle w:val="23"/>
          <w:color w:val="auto"/>
          <w:highlight w:val="none"/>
        </w:rPr>
      </w:pPr>
      <w:r>
        <w:rPr>
          <w:rStyle w:val="23"/>
          <w:rFonts w:hint="eastAsia"/>
          <w:color w:val="auto"/>
          <w:highlight w:val="none"/>
        </w:rPr>
        <w:t>1</w:t>
      </w:r>
      <w:r>
        <w:rPr>
          <w:rStyle w:val="23"/>
          <w:rFonts w:hint="eastAsia"/>
          <w:color w:val="auto"/>
          <w:highlight w:val="none"/>
          <w:lang w:val="en-US" w:eastAsia="zh-CN"/>
        </w:rPr>
        <w:t>0</w:t>
      </w:r>
      <w:r>
        <w:rPr>
          <w:rStyle w:val="23"/>
          <w:rFonts w:hint="eastAsia"/>
          <w:color w:val="auto"/>
          <w:highlight w:val="none"/>
        </w:rPr>
        <w:t>.专利权及知识产权：</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pPr>
        <w:pStyle w:val="16"/>
        <w:keepNext w:val="0"/>
        <w:keepLines w:val="0"/>
        <w:pageBreakBefore w:val="0"/>
        <w:kinsoku/>
        <w:wordWrap/>
        <w:overflowPunct/>
        <w:topLinePunct w:val="0"/>
        <w:bidi w:val="0"/>
        <w:spacing w:before="0" w:beforeAutospacing="0" w:after="0" w:afterAutospacing="0" w:line="360" w:lineRule="auto"/>
        <w:ind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1</w:t>
      </w:r>
      <w:r>
        <w:rPr>
          <w:rStyle w:val="23"/>
          <w:rFonts w:hint="eastAsia"/>
          <w:color w:val="auto"/>
          <w:highlight w:val="none"/>
        </w:rPr>
        <w:t>.保密条款：</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pStyle w:val="16"/>
        <w:keepNext w:val="0"/>
        <w:keepLines w:val="0"/>
        <w:pageBreakBefore w:val="0"/>
        <w:kinsoku/>
        <w:wordWrap/>
        <w:overflowPunct/>
        <w:topLinePunct w:val="0"/>
        <w:bidi w:val="0"/>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2</w:t>
      </w:r>
      <w:r>
        <w:rPr>
          <w:rFonts w:hint="eastAsia"/>
          <w:b/>
          <w:bCs/>
          <w:color w:val="auto"/>
          <w:highlight w:val="none"/>
        </w:rPr>
        <w:t>.</w:t>
      </w:r>
      <w:r>
        <w:rPr>
          <w:rFonts w:hint="eastAsia"/>
          <w:b/>
          <w:bCs/>
          <w:color w:val="auto"/>
          <w:highlight w:val="none"/>
          <w:lang w:val="zh-TW"/>
        </w:rPr>
        <w:t>廉政条款</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keepNext w:val="0"/>
        <w:keepLines w:val="0"/>
        <w:pageBreakBefore w:val="0"/>
        <w:kinsoku/>
        <w:wordWrap/>
        <w:overflowPunct/>
        <w:topLinePunct w:val="0"/>
        <w:bidi w:val="0"/>
        <w:spacing w:before="0" w:beforeAutospacing="0" w:after="0" w:afterAutospacing="0" w:line="360" w:lineRule="auto"/>
        <w:ind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3</w:t>
      </w:r>
      <w:r>
        <w:rPr>
          <w:rFonts w:hint="eastAsia"/>
          <w:b/>
          <w:bCs/>
          <w:color w:val="auto"/>
          <w:highlight w:val="none"/>
        </w:rPr>
        <w:t>.</w:t>
      </w:r>
      <w:r>
        <w:rPr>
          <w:rFonts w:hint="eastAsia"/>
          <w:b/>
          <w:bCs/>
          <w:color w:val="auto"/>
          <w:highlight w:val="none"/>
          <w:lang w:val="zh-TW"/>
        </w:rPr>
        <w:t>合同纠纷处理方式</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pPr>
        <w:pStyle w:val="16"/>
        <w:keepNext w:val="0"/>
        <w:keepLines w:val="0"/>
        <w:pageBreakBefore w:val="0"/>
        <w:kinsoku/>
        <w:wordWrap/>
        <w:overflowPunct/>
        <w:topLinePunct w:val="0"/>
        <w:bidi w:val="0"/>
        <w:spacing w:before="0" w:beforeAutospacing="0" w:after="0" w:afterAutospacing="0" w:line="360" w:lineRule="auto"/>
        <w:ind w:firstLine="480" w:firstLineChars="200"/>
        <w:rPr>
          <w:rFonts w:hint="eastAsia"/>
          <w:color w:val="auto"/>
          <w:highlight w:val="none"/>
          <w:lang w:val="zh-TW"/>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color w:val="auto"/>
          <w:sz w:val="36"/>
          <w:szCs w:val="36"/>
          <w:highlight w:val="none"/>
        </w:rPr>
      </w:pPr>
    </w:p>
    <w:p>
      <w:pPr>
        <w:widowControl/>
        <w:spacing w:line="360" w:lineRule="auto"/>
        <w:jc w:val="center"/>
        <w:rPr>
          <w:rFonts w:ascii="宋体" w:hAnsi="宋体"/>
          <w:b/>
          <w:bCs/>
          <w:color w:val="auto"/>
          <w:sz w:val="36"/>
          <w:szCs w:val="36"/>
          <w:highlight w:val="none"/>
        </w:rPr>
      </w:pPr>
    </w:p>
    <w:p>
      <w:pPr>
        <w:widowControl/>
        <w:spacing w:line="240" w:lineRule="auto"/>
        <w:jc w:val="left"/>
        <w:rPr>
          <w:rFonts w:hint="eastAsia" w:ascii="宋体" w:hAnsi="宋体"/>
          <w:b/>
          <w:bCs/>
          <w:color w:val="auto"/>
          <w:sz w:val="36"/>
          <w:szCs w:val="36"/>
          <w:highlight w:val="none"/>
        </w:rPr>
      </w:pPr>
      <w:r>
        <w:rPr>
          <w:rFonts w:hint="eastAsia" w:ascii="宋体" w:hAnsi="宋体"/>
          <w:b/>
          <w:bCs/>
          <w:color w:val="auto"/>
          <w:sz w:val="36"/>
          <w:szCs w:val="36"/>
          <w:highlight w:val="none"/>
        </w:rPr>
        <w:br w:type="page"/>
      </w: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3"/>
        <w:gridCol w:w="2068"/>
        <w:gridCol w:w="1446"/>
        <w:gridCol w:w="1238"/>
        <w:gridCol w:w="1654"/>
        <w:gridCol w:w="61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合同包</w:t>
            </w:r>
          </w:p>
        </w:tc>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品目号</w:t>
            </w:r>
          </w:p>
        </w:tc>
        <w:tc>
          <w:tcPr>
            <w:tcW w:w="1113" w:type="pct"/>
            <w:vAlign w:val="center"/>
          </w:tcPr>
          <w:p>
            <w:pPr>
              <w:pStyle w:val="16"/>
              <w:wordWrap w:val="0"/>
              <w:spacing w:beforeAutospacing="0" w:afterAutospacing="0" w:line="360" w:lineRule="auto"/>
              <w:jc w:val="center"/>
              <w:rPr>
                <w:color w:val="auto"/>
                <w:highlight w:val="none"/>
              </w:rPr>
            </w:pPr>
            <w:r>
              <w:rPr>
                <w:rFonts w:hint="eastAsia"/>
                <w:color w:val="auto"/>
                <w:highlight w:val="none"/>
                <w:lang w:eastAsia="zh-CN"/>
              </w:rPr>
              <w:t>服务</w:t>
            </w:r>
            <w:r>
              <w:rPr>
                <w:rFonts w:hint="eastAsia"/>
                <w:color w:val="auto"/>
                <w:highlight w:val="none"/>
              </w:rPr>
              <w:t>名称</w:t>
            </w:r>
          </w:p>
        </w:tc>
        <w:tc>
          <w:tcPr>
            <w:tcW w:w="778"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数量（单位）</w:t>
            </w:r>
          </w:p>
        </w:tc>
        <w:tc>
          <w:tcPr>
            <w:tcW w:w="666"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单价（元）</w:t>
            </w:r>
          </w:p>
        </w:tc>
        <w:tc>
          <w:tcPr>
            <w:tcW w:w="890"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合同金额（元）</w:t>
            </w:r>
          </w:p>
        </w:tc>
        <w:tc>
          <w:tcPr>
            <w:tcW w:w="331" w:type="pct"/>
            <w:vAlign w:val="center"/>
          </w:tcPr>
          <w:p>
            <w:pPr>
              <w:pStyle w:val="16"/>
              <w:wordWrap w:val="0"/>
              <w:spacing w:beforeAutospacing="0" w:afterAutospacing="0" w:line="360" w:lineRule="auto"/>
              <w:jc w:val="center"/>
              <w:rPr>
                <w:rFonts w:hint="eastAsia" w:eastAsia="宋体"/>
                <w:color w:val="auto"/>
                <w:highlight w:val="none"/>
                <w:lang w:eastAsia="zh-CN"/>
              </w:rPr>
            </w:pPr>
            <w:r>
              <w:rPr>
                <w:rFonts w:hint="eastAsia"/>
                <w:color w:val="auto"/>
                <w:highlight w:val="none"/>
                <w:lang w:eastAsia="zh-CN"/>
              </w:rPr>
              <w:t>折扣</w:t>
            </w:r>
          </w:p>
        </w:tc>
        <w:tc>
          <w:tcPr>
            <w:tcW w:w="331"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 w:type="pct"/>
            <w:vAlign w:val="center"/>
          </w:tcPr>
          <w:p>
            <w:pPr>
              <w:pStyle w:val="16"/>
              <w:wordWrap w:val="0"/>
              <w:spacing w:beforeAutospacing="0" w:afterAutospacing="0" w:line="360" w:lineRule="auto"/>
              <w:jc w:val="center"/>
              <w:rPr>
                <w:color w:val="auto"/>
                <w:highlight w:val="none"/>
              </w:rPr>
            </w:pPr>
            <w:r>
              <w:rPr>
                <w:rFonts w:hint="eastAsia"/>
                <w:color w:val="auto"/>
                <w:highlight w:val="none"/>
              </w:rPr>
              <w:t>1</w:t>
            </w:r>
          </w:p>
        </w:tc>
        <w:tc>
          <w:tcPr>
            <w:tcW w:w="443" w:type="pct"/>
            <w:vAlign w:val="center"/>
          </w:tcPr>
          <w:p>
            <w:pPr>
              <w:spacing w:line="360" w:lineRule="auto"/>
              <w:jc w:val="center"/>
              <w:rPr>
                <w:rFonts w:cs="宋体"/>
                <w:color w:val="auto"/>
                <w:highlight w:val="none"/>
              </w:rPr>
            </w:pPr>
          </w:p>
        </w:tc>
        <w:tc>
          <w:tcPr>
            <w:tcW w:w="1113" w:type="pct"/>
            <w:vAlign w:val="center"/>
          </w:tcPr>
          <w:p>
            <w:pPr>
              <w:widowControl/>
              <w:spacing w:line="360" w:lineRule="auto"/>
              <w:jc w:val="center"/>
              <w:textAlignment w:val="center"/>
              <w:rPr>
                <w:rFonts w:cs="宋体"/>
                <w:color w:val="auto"/>
                <w:highlight w:val="none"/>
              </w:rPr>
            </w:pPr>
          </w:p>
        </w:tc>
        <w:tc>
          <w:tcPr>
            <w:tcW w:w="778" w:type="pct"/>
            <w:vAlign w:val="center"/>
          </w:tcPr>
          <w:p>
            <w:pPr>
              <w:widowControl/>
              <w:spacing w:line="360" w:lineRule="auto"/>
              <w:jc w:val="center"/>
              <w:textAlignment w:val="center"/>
              <w:rPr>
                <w:rFonts w:cs="宋体"/>
                <w:color w:val="auto"/>
                <w:highlight w:val="none"/>
              </w:rPr>
            </w:pPr>
          </w:p>
        </w:tc>
        <w:tc>
          <w:tcPr>
            <w:tcW w:w="666" w:type="pct"/>
            <w:vAlign w:val="center"/>
          </w:tcPr>
          <w:p>
            <w:pPr>
              <w:pStyle w:val="16"/>
              <w:wordWrap w:val="0"/>
              <w:spacing w:beforeAutospacing="0" w:afterAutospacing="0" w:line="360" w:lineRule="auto"/>
              <w:jc w:val="center"/>
              <w:rPr>
                <w:color w:val="auto"/>
                <w:highlight w:val="none"/>
              </w:rPr>
            </w:pPr>
          </w:p>
        </w:tc>
        <w:tc>
          <w:tcPr>
            <w:tcW w:w="890" w:type="pct"/>
            <w:vAlign w:val="center"/>
          </w:tcPr>
          <w:p>
            <w:pPr>
              <w:pStyle w:val="16"/>
              <w:wordWrap w:val="0"/>
              <w:spacing w:beforeAutospacing="0" w:afterAutospacing="0" w:line="360" w:lineRule="auto"/>
              <w:jc w:val="center"/>
              <w:rPr>
                <w:color w:val="auto"/>
                <w:highlight w:val="none"/>
              </w:rPr>
            </w:pPr>
          </w:p>
        </w:tc>
        <w:tc>
          <w:tcPr>
            <w:tcW w:w="331" w:type="pct"/>
            <w:vAlign w:val="center"/>
          </w:tcPr>
          <w:p>
            <w:pPr>
              <w:pStyle w:val="16"/>
              <w:wordWrap w:val="0"/>
              <w:spacing w:beforeAutospacing="0" w:afterAutospacing="0" w:line="360" w:lineRule="auto"/>
              <w:jc w:val="center"/>
              <w:rPr>
                <w:color w:val="auto"/>
                <w:highlight w:val="none"/>
              </w:rPr>
            </w:pPr>
          </w:p>
        </w:tc>
        <w:tc>
          <w:tcPr>
            <w:tcW w:w="331" w:type="pct"/>
            <w:vAlign w:val="center"/>
          </w:tcPr>
          <w:p>
            <w:pPr>
              <w:pStyle w:val="16"/>
              <w:wordWrap w:val="0"/>
              <w:spacing w:beforeAutospacing="0" w:afterAutospacing="0" w:line="360" w:lineRule="auto"/>
              <w:jc w:val="center"/>
              <w:rPr>
                <w:color w:val="auto"/>
                <w:highlight w:val="none"/>
              </w:rPr>
            </w:pPr>
          </w:p>
        </w:tc>
      </w:tr>
    </w:tbl>
    <w:p>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2.1交货地点：</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2.2</w:t>
      </w:r>
      <w:r>
        <w:rPr>
          <w:rFonts w:hint="eastAsia" w:ascii="宋体" w:hAnsi="宋体" w:cs="宋体"/>
          <w:b/>
          <w:bCs/>
          <w:color w:val="auto"/>
          <w:sz w:val="24"/>
          <w:highlight w:val="none"/>
          <w:lang w:eastAsia="zh-CN"/>
        </w:rPr>
        <w:t>服务期限</w:t>
      </w:r>
      <w:r>
        <w:rPr>
          <w:rFonts w:hint="eastAsia" w:ascii="宋体" w:hAnsi="宋体" w:cs="宋体"/>
          <w:b/>
          <w:bCs/>
          <w:color w:val="auto"/>
          <w:sz w:val="24"/>
          <w:highlight w:val="none"/>
        </w:rPr>
        <w:t>：</w:t>
      </w:r>
    </w:p>
    <w:p>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3、交货方式：</w:t>
      </w:r>
    </w:p>
    <w:p>
      <w:pPr>
        <w:spacing w:line="360" w:lineRule="auto"/>
        <w:ind w:firstLine="482" w:firstLineChars="200"/>
        <w:outlineLvl w:val="1"/>
        <w:rPr>
          <w:rFonts w:ascii="宋体" w:hAnsi="宋体" w:cs="宋体"/>
          <w:color w:val="auto"/>
          <w:sz w:val="24"/>
          <w:highlight w:val="none"/>
        </w:rPr>
      </w:pPr>
      <w:bookmarkStart w:id="9" w:name="_Toc15649"/>
      <w:r>
        <w:rPr>
          <w:rFonts w:hint="eastAsia" w:ascii="宋体" w:hAnsi="宋体" w:cs="宋体"/>
          <w:b/>
          <w:bCs/>
          <w:color w:val="auto"/>
          <w:sz w:val="24"/>
          <w:highlight w:val="none"/>
        </w:rPr>
        <w:t>4、项目联系人：</w:t>
      </w:r>
      <w:bookmarkEnd w:id="9"/>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5、履约保证金：</w:t>
      </w:r>
    </w:p>
    <w:p>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bCs/>
          <w:color w:val="auto"/>
          <w:sz w:val="24"/>
          <w:highlight w:val="none"/>
        </w:rPr>
        <w:t>6、结算与付款方式：</w:t>
      </w:r>
      <w:bookmarkEnd w:id="10"/>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pPr>
        <w:spacing w:line="360" w:lineRule="auto"/>
        <w:rPr>
          <w:rFonts w:ascii="宋体" w:hAnsi="宋体" w:cs="宋体"/>
          <w:color w:val="auto"/>
          <w:sz w:val="24"/>
          <w:highlight w:val="none"/>
        </w:rPr>
      </w:pPr>
    </w:p>
    <w:p>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spacing w:line="360" w:lineRule="auto"/>
        <w:ind w:firstLine="482" w:firstLineChars="200"/>
        <w:outlineLvl w:val="1"/>
        <w:rPr>
          <w:rFonts w:hint="eastAsia" w:ascii="宋体" w:hAnsi="宋体" w:eastAsia="宋体" w:cs="宋体"/>
          <w:b/>
          <w:bCs/>
          <w:color w:val="auto"/>
          <w:sz w:val="24"/>
          <w:highlight w:val="none"/>
          <w:lang w:eastAsia="zh-CN"/>
        </w:rPr>
      </w:pPr>
      <w:bookmarkStart w:id="12" w:name="_Toc26908"/>
      <w:r>
        <w:rPr>
          <w:rFonts w:hint="eastAsia" w:ascii="宋体" w:hAnsi="宋体" w:cs="宋体"/>
          <w:b/>
          <w:bCs/>
          <w:color w:val="auto"/>
          <w:sz w:val="24"/>
          <w:highlight w:val="none"/>
          <w:lang w:val="en-US" w:eastAsia="zh-CN"/>
        </w:rPr>
        <w:t>9</w:t>
      </w:r>
      <w:r>
        <w:rPr>
          <w:rFonts w:hint="eastAsia" w:ascii="宋体" w:hAnsi="宋体" w:cs="宋体"/>
          <w:b/>
          <w:bCs/>
          <w:color w:val="auto"/>
          <w:sz w:val="24"/>
          <w:highlight w:val="none"/>
        </w:rPr>
        <w:t>、违约责任</w:t>
      </w:r>
      <w:bookmarkEnd w:id="12"/>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tabs>
          <w:tab w:val="left" w:pos="0"/>
        </w:tabs>
        <w:spacing w:line="360" w:lineRule="auto"/>
        <w:ind w:firstLine="482" w:firstLineChars="200"/>
        <w:outlineLvl w:val="1"/>
        <w:rPr>
          <w:rFonts w:hint="eastAsia" w:ascii="宋体" w:hAnsi="宋体" w:cs="宋体"/>
          <w:b/>
          <w:bCs/>
          <w:color w:val="auto"/>
          <w:sz w:val="24"/>
          <w:highlight w:val="none"/>
        </w:rPr>
      </w:pPr>
      <w:bookmarkStart w:id="13" w:name="_Toc25786"/>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cs="宋体"/>
          <w:b/>
          <w:bCs/>
          <w:color w:val="auto"/>
          <w:sz w:val="24"/>
          <w:highlight w:val="none"/>
        </w:rPr>
        <w:t>、</w:t>
      </w:r>
      <w:bookmarkEnd w:id="13"/>
      <w:r>
        <w:rPr>
          <w:rFonts w:hint="eastAsia" w:ascii="宋体" w:hAnsi="宋体" w:cs="宋体"/>
          <w:b/>
          <w:bCs/>
          <w:color w:val="auto"/>
          <w:sz w:val="24"/>
          <w:highlight w:val="none"/>
        </w:rPr>
        <w:t>专利权及知识产权（</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pPr>
        <w:spacing w:line="360" w:lineRule="auto"/>
        <w:ind w:firstLine="482" w:firstLineChars="200"/>
        <w:outlineLvl w:val="1"/>
        <w:rPr>
          <w:rFonts w:ascii="宋体" w:hAnsi="宋体" w:cs="宋体"/>
          <w:b/>
          <w:bCs/>
          <w:color w:val="auto"/>
          <w:sz w:val="24"/>
          <w:highlight w:val="none"/>
        </w:rPr>
      </w:pPr>
      <w:bookmarkStart w:id="14" w:name="_Toc1392"/>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、合同解除条件</w:t>
      </w:r>
      <w:bookmarkEnd w:id="14"/>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pPr>
        <w:spacing w:line="360" w:lineRule="auto"/>
        <w:ind w:firstLine="482" w:firstLineChars="200"/>
        <w:outlineLvl w:val="1"/>
        <w:rPr>
          <w:rFonts w:ascii="宋体" w:hAnsi="宋体" w:cs="宋体"/>
          <w:b/>
          <w:bCs/>
          <w:color w:val="auto"/>
          <w:sz w:val="24"/>
          <w:highlight w:val="none"/>
        </w:rPr>
      </w:pPr>
      <w:bookmarkStart w:id="15" w:name="_Toc5467"/>
      <w:r>
        <w:rPr>
          <w:rFonts w:hint="eastAsia" w:ascii="宋体" w:hAnsi="宋体" w:cs="宋体"/>
          <w:b/>
          <w:bCs/>
          <w:color w:val="auto"/>
          <w:sz w:val="24"/>
          <w:highlight w:val="none"/>
          <w:lang w:val="en-US" w:eastAsia="zh-CN"/>
        </w:rPr>
        <w:t>13</w:t>
      </w:r>
      <w:r>
        <w:rPr>
          <w:rFonts w:hint="eastAsia" w:ascii="宋体" w:hAnsi="宋体" w:cs="宋体"/>
          <w:b/>
          <w:bCs/>
          <w:color w:val="auto"/>
          <w:sz w:val="24"/>
          <w:highlight w:val="none"/>
        </w:rPr>
        <w:t>、不可抗力</w:t>
      </w:r>
      <w:bookmarkEnd w:id="15"/>
    </w:p>
    <w:p>
      <w:pPr>
        <w:pStyle w:val="16"/>
        <w:spacing w:before="0" w:beforeAutospacing="0" w:after="0" w:afterAutospacing="0" w:line="360" w:lineRule="auto"/>
        <w:ind w:firstLine="480" w:firstLineChars="200"/>
        <w:rPr>
          <w:color w:val="auto"/>
          <w:highlight w:val="none"/>
          <w:lang w:val="zh-TW"/>
        </w:rPr>
      </w:pPr>
      <w:bookmarkStart w:id="16"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4</w:t>
      </w:r>
      <w:r>
        <w:rPr>
          <w:rFonts w:hint="eastAsia" w:ascii="宋体" w:hAnsi="宋体" w:cs="宋体"/>
          <w:b/>
          <w:bCs/>
          <w:color w:val="auto"/>
          <w:sz w:val="24"/>
          <w:highlight w:val="none"/>
        </w:rPr>
        <w:t>、合同纠纷处理方式</w:t>
      </w:r>
      <w:bookmarkEnd w:id="16"/>
    </w:p>
    <w:p>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pPr>
        <w:tabs>
          <w:tab w:val="left" w:pos="0"/>
        </w:tabs>
        <w:spacing w:line="360" w:lineRule="auto"/>
        <w:ind w:firstLine="482" w:firstLineChars="200"/>
        <w:outlineLvl w:val="1"/>
        <w:rPr>
          <w:rFonts w:ascii="宋体" w:hAnsi="宋体" w:cs="宋体"/>
          <w:b/>
          <w:bCs/>
          <w:color w:val="auto"/>
          <w:sz w:val="24"/>
          <w:highlight w:val="none"/>
        </w:rPr>
      </w:pPr>
      <w:bookmarkStart w:id="17" w:name="_Toc8403"/>
      <w:r>
        <w:rPr>
          <w:rFonts w:hint="eastAsia" w:ascii="宋体" w:hAnsi="宋体" w:cs="宋体"/>
          <w:b/>
          <w:bCs/>
          <w:color w:val="auto"/>
          <w:sz w:val="24"/>
          <w:highlight w:val="none"/>
        </w:rPr>
        <w:t>1</w:t>
      </w:r>
      <w:r>
        <w:rPr>
          <w:rFonts w:hint="eastAsia" w:ascii="宋体" w:hAnsi="宋体" w:cs="宋体"/>
          <w:b/>
          <w:bCs/>
          <w:color w:val="auto"/>
          <w:sz w:val="24"/>
          <w:highlight w:val="none"/>
          <w:lang w:val="en-US" w:eastAsia="zh-CN"/>
        </w:rPr>
        <w:t>5</w:t>
      </w:r>
      <w:r>
        <w:rPr>
          <w:rFonts w:hint="eastAsia" w:ascii="宋体" w:hAnsi="宋体" w:cs="宋体"/>
          <w:b/>
          <w:bCs/>
          <w:color w:val="auto"/>
          <w:sz w:val="24"/>
          <w:highlight w:val="none"/>
        </w:rPr>
        <w:t>、保密要求</w:t>
      </w:r>
      <w:bookmarkEnd w:id="17"/>
    </w:p>
    <w:p>
      <w:pPr>
        <w:pStyle w:val="16"/>
        <w:spacing w:before="0" w:beforeAutospacing="0" w:after="0" w:afterAutospacing="0" w:line="360" w:lineRule="auto"/>
        <w:ind w:firstLine="480" w:firstLineChars="200"/>
        <w:rPr>
          <w:color w:val="auto"/>
          <w:highlight w:val="none"/>
        </w:rPr>
      </w:pPr>
      <w:bookmarkStart w:id="18"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、廉政条款</w:t>
      </w:r>
      <w:bookmarkEnd w:id="18"/>
    </w:p>
    <w:p>
      <w:pPr>
        <w:pStyle w:val="16"/>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pPr>
        <w:pStyle w:val="17"/>
        <w:spacing w:line="360" w:lineRule="auto"/>
        <w:ind w:firstLine="480" w:firstLineChars="200"/>
        <w:jc w:val="both"/>
        <w:rPr>
          <w:rFonts w:ascii="宋体" w:hAnsi="宋体" w:cs="宋体"/>
          <w:color w:val="auto"/>
          <w:sz w:val="36"/>
          <w:szCs w:val="36"/>
          <w:highlight w:val="none"/>
        </w:rPr>
      </w:pPr>
      <w:bookmarkStart w:id="19" w:name="_Toc30271"/>
      <w:r>
        <w:rPr>
          <w:rFonts w:hint="eastAsia" w:ascii="宋体" w:hAnsi="宋体" w:cs="宋体"/>
          <w:b w:val="0"/>
          <w:bCs w:val="0"/>
          <w:color w:val="auto"/>
          <w:sz w:val="24"/>
          <w:szCs w:val="24"/>
          <w:highlight w:val="none"/>
        </w:rPr>
        <w:t>账    号：                            账    号：</w:t>
      </w:r>
      <w:bookmarkEnd w:id="19"/>
    </w:p>
    <w:p>
      <w:pPr>
        <w:pStyle w:val="19"/>
        <w:spacing w:line="360" w:lineRule="auto"/>
        <w:rPr>
          <w:color w:val="auto"/>
          <w:sz w:val="24"/>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pStyle w:val="19"/>
        <w:spacing w:line="360" w:lineRule="auto"/>
        <w:rPr>
          <w:color w:val="auto"/>
          <w:highlight w:val="none"/>
        </w:rPr>
      </w:pPr>
    </w:p>
    <w:p>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pPr>
        <w:pStyle w:val="7"/>
        <w:spacing w:line="360" w:lineRule="auto"/>
        <w:rPr>
          <w:rFonts w:ascii="宋体" w:hAnsi="宋体" w:cs="宋体"/>
          <w:b/>
          <w:color w:val="auto"/>
          <w:kern w:val="0"/>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4"/>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spacing w:line="360" w:lineRule="auto"/>
        <w:rPr>
          <w:color w:val="auto"/>
          <w:highlight w:val="none"/>
        </w:rPr>
      </w:pPr>
    </w:p>
    <w:p>
      <w:pPr>
        <w:pStyle w:val="18"/>
        <w:spacing w:line="360" w:lineRule="auto"/>
        <w:ind w:firstLine="210"/>
        <w:rPr>
          <w:color w:val="auto"/>
          <w:highlight w:val="none"/>
        </w:rPr>
      </w:pPr>
    </w:p>
    <w:p>
      <w:pPr>
        <w:pStyle w:val="6"/>
        <w:spacing w:line="360" w:lineRule="auto"/>
        <w:rPr>
          <w:color w:val="auto"/>
          <w:highlight w:val="none"/>
        </w:rPr>
      </w:pPr>
    </w:p>
    <w:p>
      <w:pPr>
        <w:pStyle w:val="9"/>
        <w:spacing w:line="360" w:lineRule="auto"/>
        <w:rPr>
          <w:color w:val="auto"/>
          <w:highlight w:val="none"/>
        </w:rPr>
      </w:pPr>
    </w:p>
    <w:p>
      <w:pPr>
        <w:pStyle w:val="6"/>
        <w:spacing w:line="360" w:lineRule="auto"/>
        <w:rPr>
          <w:color w:val="auto"/>
          <w:highlight w:val="none"/>
        </w:rPr>
      </w:pPr>
    </w:p>
    <w:p>
      <w:pPr>
        <w:spacing w:line="360" w:lineRule="auto"/>
        <w:jc w:val="center"/>
        <w:rPr>
          <w:rFonts w:ascii="黑体" w:hAnsi="黑体" w:eastAsia="黑体"/>
          <w:color w:val="auto"/>
          <w:sz w:val="96"/>
          <w:szCs w:val="96"/>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8"/>
        <w:spacing w:after="120" w:line="360" w:lineRule="auto"/>
        <w:outlineLvl w:val="9"/>
        <w:rPr>
          <w:rStyle w:val="29"/>
          <w:rFonts w:hAnsi="宋体" w:cs="宋体"/>
          <w:b/>
          <w:bCs/>
          <w:color w:val="auto"/>
          <w:sz w:val="44"/>
          <w:szCs w:val="44"/>
          <w:highlight w:val="none"/>
        </w:rPr>
      </w:pPr>
    </w:p>
    <w:p>
      <w:pPr>
        <w:pStyle w:val="28"/>
        <w:spacing w:after="120" w:line="360" w:lineRule="auto"/>
        <w:jc w:val="center"/>
        <w:outlineLvl w:val="9"/>
        <w:rPr>
          <w:rStyle w:val="29"/>
          <w:rFonts w:hAnsi="宋体" w:cs="宋体"/>
          <w:b/>
          <w:bCs/>
          <w:color w:val="auto"/>
          <w:sz w:val="44"/>
          <w:szCs w:val="44"/>
          <w:highlight w:val="none"/>
        </w:rPr>
      </w:pPr>
      <w:r>
        <w:rPr>
          <w:rStyle w:val="29"/>
          <w:rFonts w:hint="eastAsia" w:hAnsi="宋体" w:cs="宋体"/>
          <w:b/>
          <w:bCs/>
          <w:color w:val="auto"/>
          <w:sz w:val="44"/>
          <w:szCs w:val="44"/>
          <w:highlight w:val="none"/>
        </w:rPr>
        <w:t>（第一部分  资格及技术商务部分）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pPr>
        <w:pStyle w:val="4"/>
        <w:spacing w:line="360" w:lineRule="auto"/>
        <w:rPr>
          <w:color w:val="auto"/>
          <w:highlight w:val="none"/>
        </w:rPr>
      </w:pPr>
    </w:p>
    <w:p>
      <w:pPr>
        <w:pStyle w:val="28"/>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pPr>
        <w:pStyle w:val="28"/>
        <w:spacing w:after="120" w:line="360" w:lineRule="auto"/>
        <w:outlineLvl w:val="9"/>
        <w:rPr>
          <w:rFonts w:hAnsi="宋体" w:cs="宋体"/>
          <w:b/>
          <w:color w:val="auto"/>
          <w:sz w:val="36"/>
          <w:highlight w:val="none"/>
        </w:rPr>
      </w:pPr>
    </w:p>
    <w:p>
      <w:pPr>
        <w:pStyle w:val="28"/>
        <w:spacing w:line="360" w:lineRule="auto"/>
        <w:rPr>
          <w:rFonts w:hAnsi="宋体" w:cs="宋体"/>
          <w:bCs/>
          <w:color w:val="auto"/>
          <w:sz w:val="24"/>
          <w:highlight w:val="none"/>
        </w:rPr>
      </w:pPr>
      <w:r>
        <w:rPr>
          <w:rFonts w:hint="eastAsia" w:hAnsi="宋体" w:cs="宋体"/>
          <w:bCs/>
          <w:color w:val="auto"/>
          <w:sz w:val="24"/>
          <w:highlight w:val="none"/>
        </w:rPr>
        <w:t>1、网上竞价承诺书</w:t>
      </w:r>
    </w:p>
    <w:p>
      <w:pPr>
        <w:pStyle w:val="28"/>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pPr>
        <w:pStyle w:val="28"/>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pPr>
        <w:pStyle w:val="28"/>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pPr>
        <w:pStyle w:val="28"/>
        <w:spacing w:line="360" w:lineRule="auto"/>
        <w:outlineLvl w:val="9"/>
        <w:rPr>
          <w:rFonts w:hAnsi="宋体" w:cs="宋体"/>
          <w:bCs/>
          <w:color w:val="auto"/>
          <w:sz w:val="24"/>
          <w:highlight w:val="none"/>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pPr>
    </w:p>
    <w:p>
      <w:pPr>
        <w:widowControl/>
        <w:shd w:val="clear" w:color="auto" w:fill="FFFFFF"/>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hd w:val="clear" w:color="auto" w:fill="FFFFFF"/>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pPr>
        <w:widowControl/>
        <w:shd w:val="clear" w:color="auto" w:fill="FFFFFF"/>
        <w:spacing w:line="360" w:lineRule="auto"/>
        <w:rPr>
          <w:rFonts w:ascii="宋体" w:hAnsi="宋体" w:cs="宋体"/>
          <w:b/>
          <w:color w:val="auto"/>
          <w:kern w:val="0"/>
          <w:sz w:val="28"/>
          <w:szCs w:val="28"/>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pPr>
        <w:widowControl/>
        <w:shd w:val="clear" w:color="auto" w:fill="FFFFFF"/>
        <w:spacing w:line="360" w:lineRule="auto"/>
        <w:jc w:val="left"/>
        <w:rPr>
          <w:rFonts w:ascii="宋体" w:hAnsi="宋体" w:cs="宋体"/>
          <w:color w:val="auto"/>
          <w:kern w:val="0"/>
          <w:sz w:val="24"/>
          <w:highlight w:val="none"/>
          <w:shd w:val="clear" w:color="auto" w:fill="FFFFFF"/>
        </w:rPr>
      </w:pP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2"/>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pPr>
        <w:widowControl/>
        <w:shd w:val="clear" w:color="auto" w:fill="FFFFFF"/>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2"/>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pPr>
        <w:pStyle w:val="28"/>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pPr>
        <w:pStyle w:val="28"/>
        <w:spacing w:line="360" w:lineRule="auto"/>
        <w:jc w:val="center"/>
        <w:outlineLvl w:val="9"/>
        <w:rPr>
          <w:rFonts w:hAnsi="宋体" w:cs="宋体"/>
          <w:b/>
          <w:color w:val="auto"/>
          <w:szCs w:val="28"/>
          <w:highlight w:val="none"/>
        </w:rPr>
      </w:pP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pPr>
        <w:pStyle w:val="28"/>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pPr>
        <w:pStyle w:val="16"/>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pPr>
        <w:pStyle w:val="16"/>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pPr>
        <w:pStyle w:val="16"/>
        <w:spacing w:before="0" w:beforeAutospacing="0" w:after="0" w:afterAutospacing="0" w:line="360" w:lineRule="auto"/>
        <w:jc w:val="center"/>
        <w:outlineLvl w:val="0"/>
        <w:rPr>
          <w:color w:val="auto"/>
          <w:highlight w:val="none"/>
        </w:rPr>
      </w:pPr>
      <w:r>
        <w:rPr>
          <w:rFonts w:hint="eastAsia"/>
          <w:color w:val="auto"/>
          <w:highlight w:val="none"/>
        </w:rPr>
        <w:t>（以下无正文）</w:t>
      </w:r>
    </w:p>
    <w:p>
      <w:pPr>
        <w:pStyle w:val="16"/>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授权方</w:t>
      </w:r>
    </w:p>
    <w:p>
      <w:pPr>
        <w:pStyle w:val="16"/>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pPr>
        <w:pStyle w:val="16"/>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pPr>
        <w:pStyle w:val="16"/>
        <w:spacing w:before="0" w:beforeAutospacing="0" w:after="0" w:afterAutospacing="0" w:line="360" w:lineRule="auto"/>
        <w:rPr>
          <w:color w:val="auto"/>
          <w:highlight w:val="none"/>
        </w:rPr>
      </w:pPr>
      <w:r>
        <w:rPr>
          <w:rFonts w:hint="eastAsia"/>
          <w:color w:val="auto"/>
          <w:highlight w:val="none"/>
        </w:rPr>
        <w:t> </w:t>
      </w:r>
    </w:p>
    <w:p>
      <w:pPr>
        <w:pStyle w:val="16"/>
        <w:spacing w:before="0" w:beforeAutospacing="0" w:after="0" w:afterAutospacing="0" w:line="360" w:lineRule="auto"/>
        <w:rPr>
          <w:color w:val="auto"/>
          <w:highlight w:val="none"/>
        </w:rPr>
      </w:pPr>
      <w:r>
        <w:rPr>
          <w:rFonts w:hint="eastAsia"/>
          <w:color w:val="auto"/>
          <w:highlight w:val="none"/>
        </w:rPr>
        <w:t>接受授权方</w:t>
      </w:r>
    </w:p>
    <w:p>
      <w:pPr>
        <w:pStyle w:val="16"/>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pPr>
        <w:pStyle w:val="16"/>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pPr>
        <w:pStyle w:val="16"/>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rPr>
                <w:color w:val="auto"/>
                <w:highlight w:val="none"/>
              </w:rPr>
            </w:pPr>
            <w:r>
              <w:rPr>
                <w:rStyle w:val="23"/>
                <w:rFonts w:hint="eastAsia"/>
                <w:color w:val="auto"/>
                <w:highlight w:val="none"/>
              </w:rPr>
              <w:t> </w:t>
            </w:r>
          </w:p>
          <w:p>
            <w:pPr>
              <w:pStyle w:val="16"/>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pPr>
              <w:pStyle w:val="16"/>
              <w:spacing w:before="0" w:beforeAutospacing="0" w:after="0" w:afterAutospacing="0" w:line="360" w:lineRule="auto"/>
              <w:jc w:val="center"/>
              <w:rPr>
                <w:color w:val="auto"/>
                <w:highlight w:val="none"/>
              </w:rPr>
            </w:pPr>
            <w:r>
              <w:rPr>
                <w:rStyle w:val="23"/>
                <w:rFonts w:hint="eastAsia"/>
                <w:color w:val="auto"/>
                <w:highlight w:val="none"/>
              </w:rPr>
              <w:t> </w:t>
            </w:r>
          </w:p>
        </w:tc>
      </w:tr>
    </w:tbl>
    <w:p>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jc w:val="center"/>
        <w:outlineLvl w:val="2"/>
        <w:rPr>
          <w:rFonts w:ascii="宋体" w:hAnsi="宋体"/>
          <w:b/>
          <w:color w:val="auto"/>
          <w:sz w:val="32"/>
          <w:szCs w:val="22"/>
          <w:highlight w:val="none"/>
        </w:rPr>
      </w:pPr>
    </w:p>
    <w:p>
      <w:pPr>
        <w:spacing w:line="360" w:lineRule="auto"/>
        <w:outlineLvl w:val="2"/>
        <w:rPr>
          <w:rFonts w:ascii="宋体" w:hAnsi="宋体"/>
          <w:b/>
          <w:color w:val="auto"/>
          <w:sz w:val="32"/>
          <w:szCs w:val="2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pStyle w:val="5"/>
        <w:spacing w:line="360" w:lineRule="auto"/>
        <w:rPr>
          <w:rFonts w:hint="default" w:ascii="Times New Roman" w:hAnsi="Times New Roman"/>
          <w:color w:val="auto"/>
          <w:highlight w:val="none"/>
        </w:rPr>
      </w:pPr>
    </w:p>
    <w:p>
      <w:pPr>
        <w:spacing w:line="360" w:lineRule="auto"/>
        <w:rPr>
          <w:rFonts w:ascii="Times New Roman" w:hAnsi="Times New Roman"/>
          <w:b/>
          <w:color w:val="auto"/>
          <w:sz w:val="32"/>
          <w:highlight w:val="none"/>
        </w:rPr>
      </w:pPr>
    </w:p>
    <w:p>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pPr>
        <w:pStyle w:val="33"/>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lang w:eastAsia="zh-CN"/>
        </w:rPr>
        <w:t>（1）</w:t>
      </w:r>
      <w:r>
        <w:rPr>
          <w:rFonts w:ascii="宋体" w:hAnsi="宋体" w:cs="宋体"/>
          <w:color w:val="auto"/>
          <w:sz w:val="24"/>
          <w:szCs w:val="24"/>
          <w:highlight w:val="none"/>
        </w:rPr>
        <w:t>标的说明一览表</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lang w:eastAsia="zh-CN"/>
              </w:rPr>
              <w:t>合同</w:t>
            </w:r>
            <w:r>
              <w:rPr>
                <w:rFonts w:ascii="宋体" w:hAnsi="宋体" w:cs="宋体"/>
                <w:color w:val="auto"/>
                <w:sz w:val="24"/>
                <w:szCs w:val="24"/>
                <w:highlight w:val="none"/>
              </w:rPr>
              <w:t>包</w:t>
            </w:r>
          </w:p>
        </w:tc>
        <w:tc>
          <w:tcPr>
            <w:tcW w:w="1014"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pPr>
              <w:pStyle w:val="33"/>
              <w:spacing w:line="360" w:lineRule="auto"/>
              <w:jc w:val="center"/>
              <w:rPr>
                <w:rFonts w:hint="default" w:ascii="宋体" w:hAnsi="宋体" w:cs="宋体"/>
                <w:color w:val="auto"/>
                <w:sz w:val="24"/>
                <w:szCs w:val="24"/>
                <w:highlight w:val="none"/>
                <w:lang w:eastAsia="zh-CN"/>
              </w:rPr>
            </w:pPr>
            <w:r>
              <w:rPr>
                <w:rFonts w:hint="default" w:ascii="宋体" w:hAnsi="宋体" w:cs="宋体"/>
                <w:color w:val="auto"/>
                <w:sz w:val="24"/>
                <w:szCs w:val="24"/>
                <w:highlight w:val="none"/>
                <w:lang w:eastAsia="zh-CN"/>
              </w:rPr>
              <w:t>服务名称</w:t>
            </w:r>
          </w:p>
        </w:tc>
        <w:tc>
          <w:tcPr>
            <w:tcW w:w="2178" w:type="dxa"/>
          </w:tcPr>
          <w:p>
            <w:pPr>
              <w:pStyle w:val="33"/>
              <w:spacing w:line="360" w:lineRule="auto"/>
              <w:jc w:val="center"/>
              <w:rPr>
                <w:rFonts w:hint="default" w:ascii="宋体" w:hAnsi="宋体" w:cs="宋体"/>
                <w:color w:val="auto"/>
                <w:sz w:val="24"/>
                <w:szCs w:val="24"/>
                <w:highlight w:val="none"/>
              </w:rPr>
            </w:pPr>
            <w:r>
              <w:rPr>
                <w:rFonts w:hint="default" w:ascii="宋体" w:hAnsi="宋体" w:eastAsia="宋体" w:cs="宋体"/>
                <w:color w:val="auto"/>
                <w:sz w:val="24"/>
                <w:szCs w:val="24"/>
                <w:highlight w:val="none"/>
              </w:rPr>
              <w:t>服务期限</w:t>
            </w:r>
          </w:p>
        </w:tc>
        <w:tc>
          <w:tcPr>
            <w:tcW w:w="946"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pPr>
              <w:pStyle w:val="33"/>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color w:val="auto"/>
                <w:sz w:val="24"/>
                <w:highlight w:val="none"/>
              </w:rPr>
            </w:pPr>
          </w:p>
        </w:tc>
        <w:tc>
          <w:tcPr>
            <w:tcW w:w="1014"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pPr>
              <w:spacing w:line="360" w:lineRule="auto"/>
              <w:rPr>
                <w:rFonts w:ascii="宋体" w:hAnsi="宋体" w:cs="宋体"/>
                <w:color w:val="auto"/>
                <w:sz w:val="24"/>
                <w:highlight w:val="none"/>
              </w:rPr>
            </w:pPr>
          </w:p>
        </w:tc>
        <w:tc>
          <w:tcPr>
            <w:tcW w:w="2500" w:type="dxa"/>
          </w:tcPr>
          <w:p>
            <w:pPr>
              <w:spacing w:line="360" w:lineRule="auto"/>
              <w:rPr>
                <w:rFonts w:ascii="宋体" w:hAnsi="宋体" w:cs="宋体"/>
                <w:color w:val="auto"/>
                <w:sz w:val="24"/>
                <w:highlight w:val="none"/>
              </w:rPr>
            </w:pPr>
          </w:p>
        </w:tc>
        <w:tc>
          <w:tcPr>
            <w:tcW w:w="2178" w:type="dxa"/>
          </w:tcPr>
          <w:p>
            <w:pPr>
              <w:spacing w:line="360" w:lineRule="auto"/>
              <w:rPr>
                <w:rFonts w:ascii="宋体" w:hAnsi="宋体" w:cs="宋体"/>
                <w:color w:val="auto"/>
                <w:sz w:val="24"/>
                <w:highlight w:val="none"/>
              </w:rPr>
            </w:pPr>
          </w:p>
        </w:tc>
        <w:tc>
          <w:tcPr>
            <w:tcW w:w="946" w:type="dxa"/>
          </w:tcPr>
          <w:p>
            <w:pPr>
              <w:spacing w:line="360" w:lineRule="auto"/>
              <w:rPr>
                <w:rFonts w:ascii="宋体" w:hAnsi="宋体" w:cs="宋体"/>
                <w:color w:val="auto"/>
                <w:sz w:val="24"/>
                <w:highlight w:val="none"/>
              </w:rPr>
            </w:pPr>
          </w:p>
        </w:tc>
        <w:tc>
          <w:tcPr>
            <w:tcW w:w="1662" w:type="dxa"/>
          </w:tcPr>
          <w:p>
            <w:pPr>
              <w:spacing w:line="360" w:lineRule="auto"/>
              <w:rPr>
                <w:rFonts w:ascii="宋体" w:hAnsi="宋体" w:cs="宋体"/>
                <w:color w:val="auto"/>
                <w:sz w:val="24"/>
                <w:highlight w:val="none"/>
              </w:rPr>
            </w:pPr>
          </w:p>
        </w:tc>
      </w:tr>
    </w:tbl>
    <w:p>
      <w:pPr>
        <w:pStyle w:val="33"/>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”应与</w:t>
      </w:r>
      <w:r>
        <w:rPr>
          <w:rFonts w:ascii="宋体" w:hAnsi="宋体" w:cs="宋体"/>
          <w:color w:val="auto"/>
          <w:sz w:val="24"/>
          <w:szCs w:val="24"/>
          <w:highlight w:val="none"/>
          <w:lang w:eastAsia="zh-CN"/>
        </w:rPr>
        <w:t>第三章</w:t>
      </w:r>
      <w:r>
        <w:rPr>
          <w:rFonts w:ascii="宋体" w:hAnsi="宋体" w:cs="宋体"/>
          <w:color w:val="auto"/>
          <w:sz w:val="24"/>
          <w:szCs w:val="24"/>
          <w:highlight w:val="none"/>
        </w:rPr>
        <w:t>《采购标的一览表》中的有关内容（“采购包”、“品目号”、“</w:t>
      </w:r>
      <w:r>
        <w:rPr>
          <w:rFonts w:ascii="宋体" w:hAnsi="宋体" w:cs="宋体"/>
          <w:color w:val="auto"/>
          <w:sz w:val="24"/>
          <w:szCs w:val="24"/>
          <w:highlight w:val="none"/>
          <w:lang w:eastAsia="zh-CN"/>
        </w:rPr>
        <w:t>服务名称</w:t>
      </w:r>
      <w:r>
        <w:rPr>
          <w:rFonts w:ascii="宋体" w:hAnsi="宋体" w:cs="宋体"/>
          <w:color w:val="auto"/>
          <w:sz w:val="24"/>
          <w:szCs w:val="24"/>
          <w:highlight w:val="none"/>
        </w:rPr>
        <w:t>”及“</w:t>
      </w:r>
      <w:r>
        <w:rPr>
          <w:rFonts w:hint="default" w:ascii="宋体" w:hAnsi="宋体" w:cs="宋体"/>
          <w:color w:val="auto"/>
          <w:sz w:val="24"/>
          <w:szCs w:val="24"/>
          <w:highlight w:val="none"/>
        </w:rPr>
        <w:t>服务期限</w:t>
      </w:r>
      <w:r>
        <w:rPr>
          <w:rFonts w:ascii="宋体" w:hAnsi="宋体" w:cs="宋体"/>
          <w:color w:val="auto"/>
          <w:sz w:val="24"/>
          <w:szCs w:val="24"/>
          <w:highlight w:val="none"/>
        </w:rPr>
        <w:t>”）保持一致。</w:t>
      </w:r>
    </w:p>
    <w:p>
      <w:pPr>
        <w:pStyle w:val="33"/>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w:t>
      </w:r>
      <w:r>
        <w:rPr>
          <w:rFonts w:ascii="宋体" w:hAnsi="宋体" w:eastAsia="宋体" w:cs="宋体"/>
          <w:color w:val="auto"/>
          <w:sz w:val="24"/>
          <w:szCs w:val="24"/>
          <w:highlight w:val="none"/>
        </w:rPr>
        <w:t>“规格”项下应填写服务提供者提供的服务标准及品牌（若有）。“来源地”应填写服务提供者的所在地。</w:t>
      </w:r>
    </w:p>
    <w:p>
      <w:pPr>
        <w:pStyle w:val="33"/>
        <w:spacing w:line="360" w:lineRule="auto"/>
        <w:ind w:firstLine="480"/>
        <w:jc w:val="right"/>
        <w:rPr>
          <w:rFonts w:hint="default" w:ascii="宋体" w:hAnsi="宋体" w:cs="宋体"/>
          <w:color w:val="auto"/>
          <w:sz w:val="24"/>
          <w:szCs w:val="24"/>
          <w:highlight w:val="none"/>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33"/>
        <w:spacing w:line="360" w:lineRule="auto"/>
        <w:jc w:val="both"/>
        <w:rPr>
          <w:rFonts w:hint="default" w:ascii="宋体" w:hAnsi="宋体" w:cs="宋体"/>
          <w:color w:val="auto"/>
          <w:sz w:val="24"/>
          <w:szCs w:val="24"/>
          <w:highlight w:val="none"/>
        </w:rPr>
      </w:pP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color w:val="auto"/>
          <w:sz w:val="24"/>
          <w:highlight w:val="none"/>
        </w:rPr>
      </w:pPr>
      <w:r>
        <w:rPr>
          <w:rFonts w:ascii="宋体" w:hAnsi="宋体" w:cs="宋体"/>
          <w:color w:val="auto"/>
          <w:sz w:val="24"/>
          <w:highlight w:val="none"/>
        </w:rPr>
        <w:br w:type="page"/>
      </w:r>
    </w:p>
    <w:p>
      <w:pPr>
        <w:pStyle w:val="10"/>
        <w:numPr>
          <w:ilvl w:val="0"/>
          <w:numId w:val="2"/>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pPr>
        <w:pStyle w:val="10"/>
        <w:spacing w:line="360" w:lineRule="auto"/>
        <w:rPr>
          <w:rFonts w:ascii="宋体" w:hAnsi="宋体" w:cs="宋体"/>
          <w:b/>
          <w:bCs/>
          <w:color w:val="auto"/>
          <w:sz w:val="28"/>
          <w:szCs w:val="28"/>
          <w:highlight w:val="none"/>
        </w:rPr>
      </w:pPr>
    </w:p>
    <w:p>
      <w:pPr>
        <w:pStyle w:val="16"/>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rPr>
                <w:color w:val="auto"/>
                <w:highlight w:val="none"/>
              </w:rPr>
            </w:pPr>
          </w:p>
        </w:tc>
      </w:tr>
    </w:tbl>
    <w:p>
      <w:pPr>
        <w:pStyle w:val="16"/>
        <w:spacing w:before="0" w:beforeAutospacing="0" w:after="0" w:afterAutospacing="0" w:line="360" w:lineRule="auto"/>
        <w:rPr>
          <w:b/>
          <w:bCs/>
          <w:color w:val="auto"/>
          <w:highlight w:val="none"/>
        </w:rPr>
      </w:pPr>
      <w:r>
        <w:rPr>
          <w:rFonts w:hint="eastAsia"/>
          <w:b/>
          <w:bCs/>
          <w:color w:val="auto"/>
          <w:highlight w:val="none"/>
        </w:rPr>
        <w:t>注：</w:t>
      </w:r>
    </w:p>
    <w:p>
      <w:pPr>
        <w:pStyle w:val="16"/>
        <w:numPr>
          <w:ilvl w:val="0"/>
          <w:numId w:val="3"/>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ind w:left="0" w:leftChars="0"/>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pStyle w:val="10"/>
        <w:spacing w:line="360" w:lineRule="auto"/>
        <w:rPr>
          <w:rFonts w:ascii="宋体" w:hAnsi="宋体" w:cs="宋体"/>
          <w:color w:val="auto"/>
          <w:sz w:val="24"/>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pPr>
        <w:pStyle w:val="9"/>
        <w:spacing w:line="360" w:lineRule="auto"/>
        <w:ind w:left="0" w:leftChars="0"/>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10"/>
        <w:spacing w:line="360" w:lineRule="auto"/>
        <w:rPr>
          <w:rFonts w:ascii="宋体" w:hAnsi="宋体" w:cs="宋体"/>
          <w:b/>
          <w:bCs/>
          <w:color w:val="auto"/>
          <w:sz w:val="28"/>
          <w:szCs w:val="28"/>
          <w:highlight w:val="none"/>
        </w:rPr>
      </w:pPr>
    </w:p>
    <w:p>
      <w:pPr>
        <w:pStyle w:val="9"/>
        <w:spacing w:line="360" w:lineRule="auto"/>
        <w:ind w:left="0" w:leftChars="0"/>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10"/>
        <w:spacing w:line="360" w:lineRule="auto"/>
        <w:rPr>
          <w:rFonts w:ascii="宋体" w:hAnsi="宋体" w:cs="宋体"/>
          <w:b/>
          <w:bCs/>
          <w:color w:val="auto"/>
          <w:sz w:val="28"/>
          <w:szCs w:val="28"/>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10"/>
        <w:spacing w:line="360" w:lineRule="auto"/>
        <w:rPr>
          <w:color w:val="auto"/>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pPr>
        <w:pStyle w:val="6"/>
        <w:spacing w:line="360" w:lineRule="auto"/>
        <w:rPr>
          <w:rFonts w:ascii="楷体_GB2312" w:eastAsia="楷体_GB2312"/>
          <w:b/>
          <w:color w:val="auto"/>
          <w:sz w:val="40"/>
          <w:szCs w:val="40"/>
          <w:highlight w:val="none"/>
        </w:rPr>
      </w:pPr>
    </w:p>
    <w:p>
      <w:pPr>
        <w:pStyle w:val="9"/>
        <w:spacing w:line="360" w:lineRule="auto"/>
        <w:rPr>
          <w:rFonts w:ascii="楷体_GB2312" w:eastAsia="楷体_GB2312"/>
          <w:b/>
          <w:color w:val="auto"/>
          <w:sz w:val="40"/>
          <w:szCs w:val="40"/>
          <w:highlight w:val="none"/>
        </w:rPr>
      </w:pPr>
    </w:p>
    <w:p>
      <w:pPr>
        <w:pStyle w:val="6"/>
        <w:spacing w:line="360" w:lineRule="auto"/>
        <w:rPr>
          <w:rFonts w:ascii="楷体_GB2312" w:eastAsia="楷体_GB2312"/>
          <w:b/>
          <w:color w:val="auto"/>
          <w:sz w:val="40"/>
          <w:szCs w:val="40"/>
          <w:highlight w:val="none"/>
        </w:rPr>
      </w:pPr>
    </w:p>
    <w:p>
      <w:pPr>
        <w:pStyle w:val="9"/>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pPr>
        <w:pStyle w:val="10"/>
        <w:spacing w:line="360" w:lineRule="auto"/>
        <w:rPr>
          <w:rFonts w:ascii="宋体" w:hAnsi="宋体" w:cs="宋体"/>
          <w:b/>
          <w:bCs/>
          <w:color w:val="auto"/>
          <w:sz w:val="28"/>
          <w:szCs w:val="28"/>
          <w:highlight w:val="none"/>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lang w:eastAsia="zh-CN"/>
        </w:rPr>
      </w:pP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lang w:eastAsia="zh-CN"/>
        </w:rPr>
        <w:t>供应商</w:t>
      </w:r>
      <w:r>
        <w:rPr>
          <w:rFonts w:ascii="宋体" w:hAnsi="宋体" w:cs="宋体"/>
          <w:color w:val="auto"/>
          <w:sz w:val="24"/>
          <w:szCs w:val="24"/>
          <w:highlight w:val="none"/>
        </w:rPr>
        <w:t>：</w:t>
      </w:r>
      <w:r>
        <w:rPr>
          <w:rFonts w:ascii="宋体" w:hAnsi="宋体" w:cs="宋体"/>
          <w:color w:val="auto"/>
          <w:sz w:val="24"/>
          <w:szCs w:val="24"/>
          <w:highlight w:val="none"/>
          <w:u w:val="single"/>
        </w:rPr>
        <w:t>（全称并加盖单位公章）</w:t>
      </w:r>
    </w:p>
    <w:p>
      <w:pPr>
        <w:pStyle w:val="33"/>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color w:val="auto"/>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9"/>
        <w:spacing w:line="360" w:lineRule="auto"/>
        <w:rPr>
          <w:rFonts w:ascii="楷体_GB2312" w:eastAsia="楷体_GB2312"/>
          <w:b/>
          <w:color w:val="auto"/>
          <w:sz w:val="44"/>
          <w:szCs w:val="44"/>
          <w:highlight w:val="none"/>
        </w:rPr>
      </w:pPr>
    </w:p>
    <w:p>
      <w:pPr>
        <w:pStyle w:val="6"/>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pStyle w:val="10"/>
        <w:spacing w:line="360" w:lineRule="auto"/>
        <w:rPr>
          <w:rFonts w:ascii="楷体_GB2312" w:eastAsia="楷体_GB2312"/>
          <w:b/>
          <w:color w:val="auto"/>
          <w:sz w:val="44"/>
          <w:szCs w:val="44"/>
          <w:highlight w:val="none"/>
        </w:rPr>
      </w:pPr>
    </w:p>
    <w:p>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pPr>
        <w:pStyle w:val="28"/>
        <w:spacing w:after="120" w:line="360" w:lineRule="auto"/>
        <w:outlineLvl w:val="9"/>
        <w:rPr>
          <w:rStyle w:val="29"/>
          <w:rFonts w:hAnsi="宋体" w:cs="宋体"/>
          <w:b/>
          <w:bCs/>
          <w:color w:val="auto"/>
          <w:sz w:val="44"/>
          <w:szCs w:val="44"/>
          <w:highlight w:val="none"/>
        </w:rPr>
      </w:pPr>
    </w:p>
    <w:p>
      <w:pPr>
        <w:pStyle w:val="28"/>
        <w:spacing w:after="120" w:line="360" w:lineRule="auto"/>
        <w:jc w:val="center"/>
        <w:outlineLvl w:val="9"/>
        <w:rPr>
          <w:rStyle w:val="29"/>
          <w:rFonts w:hAnsi="宋体" w:cs="宋体"/>
          <w:b/>
          <w:bCs/>
          <w:color w:val="auto"/>
          <w:sz w:val="44"/>
          <w:szCs w:val="44"/>
          <w:highlight w:val="none"/>
        </w:rPr>
      </w:pPr>
      <w:r>
        <w:rPr>
          <w:rStyle w:val="29"/>
          <w:rFonts w:hint="eastAsia" w:hAnsi="宋体" w:cs="宋体"/>
          <w:b/>
          <w:bCs/>
          <w:color w:val="auto"/>
          <w:sz w:val="44"/>
          <w:szCs w:val="44"/>
          <w:highlight w:val="none"/>
        </w:rPr>
        <w:t>（第二部分  报价部分）</w:t>
      </w:r>
    </w:p>
    <w:p>
      <w:pPr>
        <w:spacing w:line="360" w:lineRule="auto"/>
        <w:ind w:firstLine="1920" w:firstLineChars="200"/>
        <w:jc w:val="left"/>
        <w:rPr>
          <w:color w:val="auto"/>
          <w:sz w:val="96"/>
          <w:szCs w:val="96"/>
          <w:highlight w:val="none"/>
        </w:rPr>
      </w:pPr>
    </w:p>
    <w:p>
      <w:pPr>
        <w:spacing w:line="360" w:lineRule="auto"/>
        <w:ind w:firstLine="1920" w:firstLineChars="200"/>
        <w:jc w:val="left"/>
        <w:rPr>
          <w:color w:val="auto"/>
          <w:sz w:val="96"/>
          <w:szCs w:val="96"/>
          <w:highlight w:val="none"/>
        </w:rPr>
      </w:pPr>
    </w:p>
    <w:p>
      <w:pPr>
        <w:pStyle w:val="4"/>
        <w:spacing w:line="360" w:lineRule="auto"/>
        <w:rPr>
          <w:color w:val="auto"/>
          <w:highlight w:val="none"/>
        </w:rPr>
      </w:pPr>
    </w:p>
    <w:p>
      <w:pPr>
        <w:spacing w:line="360" w:lineRule="auto"/>
        <w:ind w:firstLine="1920" w:firstLineChars="200"/>
        <w:jc w:val="left"/>
        <w:rPr>
          <w:color w:val="auto"/>
          <w:sz w:val="96"/>
          <w:szCs w:val="96"/>
          <w:highlight w:val="none"/>
        </w:rPr>
      </w:pPr>
    </w:p>
    <w:p>
      <w:pPr>
        <w:pStyle w:val="11"/>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pPr>
        <w:pStyle w:val="11"/>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pPr>
        <w:pStyle w:val="11"/>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pPr>
        <w:spacing w:line="360" w:lineRule="auto"/>
        <w:rPr>
          <w:color w:val="auto"/>
          <w:highlight w:val="none"/>
        </w:rPr>
      </w:pPr>
    </w:p>
    <w:p>
      <w:pPr>
        <w:pStyle w:val="10"/>
        <w:spacing w:line="360" w:lineRule="auto"/>
        <w:rPr>
          <w:color w:val="auto"/>
          <w:highlight w:val="none"/>
        </w:rPr>
      </w:pPr>
    </w:p>
    <w:p>
      <w:pPr>
        <w:pStyle w:val="5"/>
        <w:keepNext w:val="0"/>
        <w:keepLines w:val="0"/>
        <w:spacing w:line="360" w:lineRule="auto"/>
        <w:rPr>
          <w:rFonts w:hint="default"/>
          <w:color w:val="auto"/>
          <w:highlight w:val="none"/>
        </w:rPr>
      </w:pPr>
      <w:r>
        <w:rPr>
          <w:color w:val="auto"/>
          <w:highlight w:val="none"/>
        </w:rPr>
        <w:t>1、报价一览表</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662"/>
        <w:gridCol w:w="1636"/>
        <w:gridCol w:w="1070"/>
        <w:gridCol w:w="1339"/>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43"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33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821"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537"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672"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1145" w:type="pct"/>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c>
          <w:tcPr>
            <w:tcW w:w="1145" w:type="pct"/>
            <w:vAlign w:val="center"/>
          </w:tcPr>
          <w:p>
            <w:pPr>
              <w:pStyle w:val="11"/>
              <w:snapToGrid w:val="0"/>
              <w:spacing w:line="360" w:lineRule="auto"/>
              <w:ind w:left="-105" w:leftChars="-50" w:right="-105" w:rightChars="-50"/>
              <w:jc w:val="center"/>
              <w:rPr>
                <w:rFonts w:hint="eastAsia" w:hAnsi="宋体" w:eastAsia="宋体"/>
                <w:color w:val="auto"/>
                <w:kern w:val="2"/>
                <w:sz w:val="24"/>
                <w:highlight w:val="none"/>
                <w:lang w:eastAsia="zh-CN"/>
              </w:rPr>
            </w:pPr>
            <w:r>
              <w:rPr>
                <w:rFonts w:hint="eastAsia" w:hAnsi="宋体"/>
                <w:color w:val="auto"/>
                <w:kern w:val="2"/>
                <w:sz w:val="24"/>
                <w:highlight w:val="none"/>
                <w:lang w:eastAsia="zh-CN"/>
              </w:rPr>
              <w:t>报价折扣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43" w:type="pct"/>
            <w:vAlign w:val="center"/>
          </w:tcPr>
          <w:p>
            <w:pPr>
              <w:snapToGrid w:val="0"/>
              <w:spacing w:line="360" w:lineRule="auto"/>
              <w:jc w:val="center"/>
              <w:rPr>
                <w:rFonts w:ascii="宋体" w:hAnsi="宋体"/>
                <w:color w:val="auto"/>
                <w:sz w:val="24"/>
                <w:highlight w:val="none"/>
              </w:rPr>
            </w:pPr>
          </w:p>
        </w:tc>
        <w:tc>
          <w:tcPr>
            <w:tcW w:w="332" w:type="pct"/>
            <w:vAlign w:val="center"/>
          </w:tcPr>
          <w:p>
            <w:pPr>
              <w:snapToGrid w:val="0"/>
              <w:spacing w:line="360" w:lineRule="auto"/>
              <w:jc w:val="center"/>
              <w:rPr>
                <w:rFonts w:ascii="宋体" w:hAnsi="宋体"/>
                <w:color w:val="auto"/>
                <w:sz w:val="24"/>
                <w:highlight w:val="none"/>
              </w:rPr>
            </w:pPr>
          </w:p>
        </w:tc>
        <w:tc>
          <w:tcPr>
            <w:tcW w:w="821" w:type="pct"/>
            <w:vAlign w:val="center"/>
          </w:tcPr>
          <w:p>
            <w:pPr>
              <w:snapToGrid w:val="0"/>
              <w:spacing w:line="360" w:lineRule="auto"/>
              <w:jc w:val="center"/>
              <w:rPr>
                <w:rFonts w:ascii="宋体" w:hAnsi="宋体"/>
                <w:color w:val="auto"/>
                <w:sz w:val="24"/>
                <w:highlight w:val="none"/>
              </w:rPr>
            </w:pPr>
          </w:p>
        </w:tc>
        <w:tc>
          <w:tcPr>
            <w:tcW w:w="537" w:type="pct"/>
            <w:vAlign w:val="center"/>
          </w:tcPr>
          <w:p>
            <w:pPr>
              <w:snapToGrid w:val="0"/>
              <w:spacing w:line="360" w:lineRule="auto"/>
              <w:jc w:val="center"/>
              <w:rPr>
                <w:rFonts w:ascii="宋体" w:hAnsi="宋体"/>
                <w:color w:val="auto"/>
                <w:sz w:val="24"/>
                <w:highlight w:val="none"/>
              </w:rPr>
            </w:pPr>
          </w:p>
        </w:tc>
        <w:tc>
          <w:tcPr>
            <w:tcW w:w="672" w:type="pct"/>
            <w:vAlign w:val="center"/>
          </w:tcPr>
          <w:p>
            <w:pPr>
              <w:snapToGrid w:val="0"/>
              <w:spacing w:line="360" w:lineRule="auto"/>
              <w:jc w:val="center"/>
              <w:rPr>
                <w:rFonts w:ascii="宋体" w:hAnsi="宋体" w:cs="宋体"/>
                <w:color w:val="auto"/>
                <w:kern w:val="0"/>
                <w:sz w:val="24"/>
                <w:highlight w:val="none"/>
              </w:rPr>
            </w:pPr>
          </w:p>
        </w:tc>
        <w:tc>
          <w:tcPr>
            <w:tcW w:w="1145" w:type="pct"/>
            <w:vAlign w:val="center"/>
          </w:tcPr>
          <w:p>
            <w:pPr>
              <w:widowControl/>
              <w:spacing w:line="360" w:lineRule="auto"/>
              <w:jc w:val="left"/>
              <w:rPr>
                <w:rFonts w:ascii="宋体" w:hAnsi="宋体"/>
                <w:color w:val="auto"/>
                <w:sz w:val="24"/>
                <w:highlight w:val="none"/>
              </w:rPr>
            </w:pPr>
          </w:p>
        </w:tc>
        <w:tc>
          <w:tcPr>
            <w:tcW w:w="1145" w:type="pct"/>
            <w:vAlign w:val="center"/>
          </w:tcPr>
          <w:p>
            <w:pPr>
              <w:widowControl/>
              <w:spacing w:line="360" w:lineRule="auto"/>
              <w:jc w:val="left"/>
              <w:rPr>
                <w:rFonts w:ascii="宋体" w:hAnsi="宋体"/>
                <w:color w:val="auto"/>
                <w:sz w:val="24"/>
                <w:highlight w:val="none"/>
              </w:rPr>
            </w:pP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pPr>
        <w:spacing w:line="360" w:lineRule="auto"/>
        <w:ind w:firstLine="3240" w:firstLineChars="1350"/>
        <w:rPr>
          <w:color w:val="auto"/>
          <w:highlight w:val="none"/>
        </w:rPr>
      </w:pPr>
      <w:r>
        <w:rPr>
          <w:rFonts w:hint="eastAsia" w:ascii="宋体" w:hAnsi="宋体"/>
          <w:color w:val="auto"/>
          <w:sz w:val="24"/>
          <w:highlight w:val="none"/>
        </w:rPr>
        <w:t>日期：</w:t>
      </w:r>
    </w:p>
    <w:p>
      <w:pPr>
        <w:spacing w:line="360" w:lineRule="auto"/>
        <w:rPr>
          <w:color w:val="auto"/>
          <w:highlight w:val="none"/>
        </w:rPr>
      </w:pPr>
    </w:p>
    <w:p>
      <w:pPr>
        <w:spacing w:line="360" w:lineRule="auto"/>
        <w:rPr>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pStyle w:val="5"/>
        <w:spacing w:line="360" w:lineRule="auto"/>
        <w:rPr>
          <w:rFonts w:hint="default"/>
          <w:color w:val="auto"/>
          <w:highlight w:val="none"/>
        </w:rPr>
      </w:pPr>
    </w:p>
    <w:p>
      <w:pPr>
        <w:spacing w:line="360" w:lineRule="auto"/>
        <w:rPr>
          <w:color w:val="auto"/>
          <w:highlight w:val="none"/>
        </w:rPr>
      </w:pPr>
    </w:p>
    <w:p>
      <w:pPr>
        <w:numPr>
          <w:ilvl w:val="0"/>
          <w:numId w:val="4"/>
        </w:numPr>
        <w:spacing w:line="360" w:lineRule="auto"/>
        <w:jc w:val="center"/>
        <w:rPr>
          <w:color w:val="auto"/>
          <w:highlight w:val="none"/>
        </w:rPr>
      </w:pPr>
      <w:r>
        <w:rPr>
          <w:color w:val="auto"/>
          <w:highlight w:val="none"/>
        </w:rPr>
        <w:br w:type="page"/>
      </w:r>
    </w:p>
    <w:p>
      <w:pPr>
        <w:pStyle w:val="5"/>
        <w:spacing w:line="360" w:lineRule="auto"/>
        <w:rPr>
          <w:rFonts w:hint="default"/>
          <w:color w:val="auto"/>
          <w:highlight w:val="none"/>
        </w:rPr>
      </w:pPr>
      <w:r>
        <w:rPr>
          <w:color w:val="auto"/>
          <w:highlight w:val="none"/>
        </w:rPr>
        <w:t>2、服务分项报价表（若有）</w:t>
      </w:r>
    </w:p>
    <w:p>
      <w:pPr>
        <w:pStyle w:val="4"/>
        <w:spacing w:line="360" w:lineRule="auto"/>
        <w:rPr>
          <w:color w:val="auto"/>
          <w:sz w:val="24"/>
          <w:szCs w:val="24"/>
          <w:highlight w:val="none"/>
        </w:rPr>
      </w:pPr>
      <w:r>
        <w:rPr>
          <w:rFonts w:hint="eastAsia"/>
          <w:color w:val="auto"/>
          <w:sz w:val="24"/>
          <w:szCs w:val="24"/>
          <w:highlight w:val="none"/>
        </w:rPr>
        <w:t xml:space="preserve">项目编号：    </w:t>
      </w:r>
    </w:p>
    <w:p>
      <w:pPr>
        <w:pStyle w:val="4"/>
        <w:spacing w:line="360" w:lineRule="auto"/>
        <w:jc w:val="both"/>
        <w:rPr>
          <w:rFonts w:cs="宋体"/>
          <w:color w:val="auto"/>
          <w:sz w:val="24"/>
          <w:highlight w:val="none"/>
        </w:rPr>
      </w:pPr>
      <w:r>
        <w:rPr>
          <w:rFonts w:hint="eastAsia"/>
          <w:color w:val="auto"/>
          <w:sz w:val="24"/>
          <w:szCs w:val="24"/>
          <w:highlight w:val="none"/>
        </w:rPr>
        <w:t xml:space="preserve">项目名称: </w:t>
      </w:r>
    </w:p>
    <w:p>
      <w:pPr>
        <w:pStyle w:val="31"/>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服务名称</w:t>
            </w:r>
          </w:p>
        </w:tc>
        <w:tc>
          <w:tcPr>
            <w:tcW w:w="1289"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pPr>
              <w:pStyle w:val="11"/>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color w:val="auto"/>
                <w:sz w:val="24"/>
                <w:highlight w:val="none"/>
              </w:rPr>
            </w:pPr>
          </w:p>
        </w:tc>
        <w:tc>
          <w:tcPr>
            <w:tcW w:w="797" w:type="dxa"/>
            <w:vAlign w:val="center"/>
          </w:tcPr>
          <w:p>
            <w:pPr>
              <w:snapToGrid w:val="0"/>
              <w:spacing w:line="360" w:lineRule="auto"/>
              <w:jc w:val="center"/>
              <w:rPr>
                <w:rFonts w:ascii="宋体" w:hAnsi="宋体"/>
                <w:color w:val="auto"/>
                <w:sz w:val="24"/>
                <w:highlight w:val="none"/>
              </w:rPr>
            </w:pPr>
          </w:p>
        </w:tc>
        <w:tc>
          <w:tcPr>
            <w:tcW w:w="1967" w:type="dxa"/>
            <w:vAlign w:val="center"/>
          </w:tcPr>
          <w:p>
            <w:pPr>
              <w:snapToGrid w:val="0"/>
              <w:spacing w:line="360" w:lineRule="auto"/>
              <w:jc w:val="center"/>
              <w:rPr>
                <w:rFonts w:ascii="宋体" w:hAnsi="宋体"/>
                <w:color w:val="auto"/>
                <w:sz w:val="24"/>
                <w:highlight w:val="none"/>
              </w:rPr>
            </w:pPr>
          </w:p>
        </w:tc>
        <w:tc>
          <w:tcPr>
            <w:tcW w:w="1289" w:type="dxa"/>
            <w:vAlign w:val="center"/>
          </w:tcPr>
          <w:p>
            <w:pPr>
              <w:snapToGrid w:val="0"/>
              <w:spacing w:line="360" w:lineRule="auto"/>
              <w:jc w:val="center"/>
              <w:rPr>
                <w:rFonts w:ascii="宋体" w:hAnsi="宋体"/>
                <w:color w:val="auto"/>
                <w:sz w:val="24"/>
                <w:highlight w:val="none"/>
              </w:rPr>
            </w:pPr>
          </w:p>
        </w:tc>
        <w:tc>
          <w:tcPr>
            <w:tcW w:w="1613" w:type="dxa"/>
            <w:vAlign w:val="center"/>
          </w:tcPr>
          <w:p>
            <w:pPr>
              <w:snapToGrid w:val="0"/>
              <w:spacing w:line="360" w:lineRule="auto"/>
              <w:jc w:val="center"/>
              <w:rPr>
                <w:rFonts w:ascii="宋体" w:hAnsi="宋体" w:cs="宋体"/>
                <w:color w:val="auto"/>
                <w:kern w:val="0"/>
                <w:sz w:val="24"/>
                <w:highlight w:val="none"/>
              </w:rPr>
            </w:pPr>
          </w:p>
        </w:tc>
        <w:tc>
          <w:tcPr>
            <w:tcW w:w="2746" w:type="dxa"/>
            <w:vAlign w:val="center"/>
          </w:tcPr>
          <w:p>
            <w:pPr>
              <w:widowControl/>
              <w:spacing w:line="360" w:lineRule="auto"/>
              <w:jc w:val="lef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pPr>
        <w:pStyle w:val="31"/>
        <w:spacing w:line="360" w:lineRule="auto"/>
        <w:ind w:firstLine="6240" w:firstLineChars="2600"/>
        <w:rPr>
          <w:rFonts w:ascii="宋体" w:hAnsi="宋体"/>
          <w:color w:val="auto"/>
          <w:sz w:val="24"/>
          <w:highlight w:val="none"/>
        </w:rPr>
      </w:pPr>
    </w:p>
    <w:p>
      <w:pPr>
        <w:pStyle w:val="31"/>
        <w:spacing w:line="360" w:lineRule="auto"/>
        <w:ind w:firstLine="6240" w:firstLineChars="2600"/>
        <w:rPr>
          <w:rFonts w:ascii="宋体" w:hAnsi="宋体"/>
          <w:color w:val="auto"/>
          <w:sz w:val="24"/>
          <w:highlight w:val="none"/>
        </w:rPr>
      </w:pPr>
    </w:p>
    <w:p>
      <w:pPr>
        <w:pStyle w:val="16"/>
        <w:spacing w:before="75" w:beforeAutospacing="0" w:after="75" w:afterAutospacing="0" w:line="360" w:lineRule="auto"/>
        <w:rPr>
          <w:color w:val="auto"/>
          <w:sz w:val="28"/>
          <w:szCs w:val="28"/>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pPr>
        <w:spacing w:line="360" w:lineRule="auto"/>
        <w:rPr>
          <w:rFonts w:ascii="宋体" w:hAnsi="宋体"/>
          <w:color w:val="auto"/>
          <w:sz w:val="24"/>
          <w:highlight w:val="none"/>
        </w:rPr>
      </w:pPr>
      <w:r>
        <w:rPr>
          <w:rFonts w:hint="eastAsia" w:ascii="宋体" w:hAnsi="宋体"/>
          <w:color w:val="auto"/>
          <w:sz w:val="24"/>
          <w:highlight w:val="none"/>
        </w:rPr>
        <w:t>供应商代表签字：</w:t>
      </w:r>
    </w:p>
    <w:p>
      <w:pPr>
        <w:spacing w:line="360" w:lineRule="auto"/>
        <w:rPr>
          <w:color w:val="auto"/>
          <w:highlight w:val="none"/>
        </w:rPr>
      </w:pPr>
      <w:r>
        <w:rPr>
          <w:rFonts w:hint="eastAsia" w:ascii="宋体" w:hAnsi="宋体"/>
          <w:color w:val="auto"/>
          <w:sz w:val="24"/>
          <w:highlight w:val="none"/>
        </w:rPr>
        <w:t>日期：</w:t>
      </w:r>
    </w:p>
    <w:p>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172A27"/>
    <w:rsid w:val="00790014"/>
    <w:rsid w:val="035D4535"/>
    <w:rsid w:val="0381096B"/>
    <w:rsid w:val="040632CE"/>
    <w:rsid w:val="04B54EEF"/>
    <w:rsid w:val="09A06EBC"/>
    <w:rsid w:val="0C126086"/>
    <w:rsid w:val="14000B07"/>
    <w:rsid w:val="15235970"/>
    <w:rsid w:val="165D14C2"/>
    <w:rsid w:val="191A53F6"/>
    <w:rsid w:val="1ADE3486"/>
    <w:rsid w:val="1B586C5F"/>
    <w:rsid w:val="1E2C09AB"/>
    <w:rsid w:val="1E657DEF"/>
    <w:rsid w:val="1E7B7C40"/>
    <w:rsid w:val="1E897F61"/>
    <w:rsid w:val="23C8685E"/>
    <w:rsid w:val="2778394C"/>
    <w:rsid w:val="27C42B43"/>
    <w:rsid w:val="2BB5293D"/>
    <w:rsid w:val="2D0C1AF6"/>
    <w:rsid w:val="2E7246A5"/>
    <w:rsid w:val="2F4430C3"/>
    <w:rsid w:val="30EA46D5"/>
    <w:rsid w:val="314B5F88"/>
    <w:rsid w:val="33CF1727"/>
    <w:rsid w:val="36D50912"/>
    <w:rsid w:val="38AD2C56"/>
    <w:rsid w:val="3AB52C3C"/>
    <w:rsid w:val="3D6C7658"/>
    <w:rsid w:val="3DC2628F"/>
    <w:rsid w:val="3F19599A"/>
    <w:rsid w:val="3FF3780D"/>
    <w:rsid w:val="489259CA"/>
    <w:rsid w:val="48F758F4"/>
    <w:rsid w:val="4A260BDD"/>
    <w:rsid w:val="4CE2174D"/>
    <w:rsid w:val="4DB8035E"/>
    <w:rsid w:val="4E182762"/>
    <w:rsid w:val="51497716"/>
    <w:rsid w:val="51C7007A"/>
    <w:rsid w:val="522C2C59"/>
    <w:rsid w:val="539938DF"/>
    <w:rsid w:val="55952FB1"/>
    <w:rsid w:val="55E461FF"/>
    <w:rsid w:val="5679358D"/>
    <w:rsid w:val="572F491B"/>
    <w:rsid w:val="5B761B8D"/>
    <w:rsid w:val="5F140D69"/>
    <w:rsid w:val="5F480A54"/>
    <w:rsid w:val="641847D4"/>
    <w:rsid w:val="65871C83"/>
    <w:rsid w:val="667E19B3"/>
    <w:rsid w:val="67BA53B7"/>
    <w:rsid w:val="69E70454"/>
    <w:rsid w:val="6A1A1EE9"/>
    <w:rsid w:val="730946AF"/>
    <w:rsid w:val="74B308B5"/>
    <w:rsid w:val="75247769"/>
    <w:rsid w:val="75EF6884"/>
    <w:rsid w:val="771F4773"/>
    <w:rsid w:val="7ACD76CA"/>
    <w:rsid w:val="7B4258E0"/>
    <w:rsid w:val="7B9A4888"/>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4">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5">
    <w:name w:val="heading 3"/>
    <w:basedOn w:val="3"/>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unhideWhenUsed/>
    <w:qFormat/>
    <w:uiPriority w:val="1"/>
  </w:style>
  <w:style w:type="table" w:default="1" w:styleId="20">
    <w:name w:val="Normal Table"/>
    <w:autoRedefine/>
    <w:unhideWhenUsed/>
    <w:qFormat/>
    <w:uiPriority w:val="99"/>
    <w:tblPr>
      <w:tblCellMar>
        <w:top w:w="0" w:type="dxa"/>
        <w:left w:w="108" w:type="dxa"/>
        <w:bottom w:w="0" w:type="dxa"/>
        <w:right w:w="108" w:type="dxa"/>
      </w:tblCellMar>
    </w:tblPr>
  </w:style>
  <w:style w:type="paragraph" w:styleId="2">
    <w:name w:val="Document Map"/>
    <w:basedOn w:val="1"/>
    <w:next w:val="1"/>
    <w:autoRedefine/>
    <w:qFormat/>
    <w:uiPriority w:val="99"/>
    <w:pPr>
      <w:shd w:val="clear" w:color="000000" w:fill="00007F"/>
    </w:pPr>
    <w:rPr>
      <w:kern w:val="1"/>
    </w:rPr>
  </w:style>
  <w:style w:type="paragraph" w:styleId="6">
    <w:name w:val="Normal Indent"/>
    <w:basedOn w:val="1"/>
    <w:autoRedefine/>
    <w:qFormat/>
    <w:uiPriority w:val="0"/>
    <w:pPr>
      <w:ind w:firstLine="420"/>
    </w:pPr>
    <w:rPr>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Body Text Indent"/>
    <w:basedOn w:val="1"/>
    <w:next w:val="10"/>
    <w:autoRedefine/>
    <w:qFormat/>
    <w:uiPriority w:val="0"/>
    <w:pPr>
      <w:spacing w:after="120"/>
      <w:ind w:left="420" w:leftChars="200"/>
    </w:pPr>
  </w:style>
  <w:style w:type="paragraph" w:styleId="10">
    <w:name w:val="envelope return"/>
    <w:basedOn w:val="1"/>
    <w:autoRedefine/>
    <w:qFormat/>
    <w:uiPriority w:val="0"/>
    <w:pPr>
      <w:snapToGrid w:val="0"/>
    </w:pPr>
    <w:rPr>
      <w:rFonts w:ascii="Arial" w:hAnsi="Arial"/>
    </w:r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8"/>
    <w:next w:val="19"/>
    <w:autoRedefine/>
    <w:qFormat/>
    <w:uiPriority w:val="0"/>
    <w:pPr>
      <w:ind w:firstLine="420" w:firstLineChars="100"/>
    </w:pPr>
    <w:rPr>
      <w:rFonts w:ascii="Times New Roman" w:hAnsi="Times New Roman"/>
      <w:szCs w:val="20"/>
    </w:rPr>
  </w:style>
  <w:style w:type="paragraph" w:styleId="19">
    <w:name w:val="Body Text First Indent 2"/>
    <w:basedOn w:val="9"/>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样式 标题 3 + (中文) 黑体 小四 非加粗 段前: 7.8 磅 段后: 0 磅 行距: 固定值 20 磅"/>
    <w:basedOn w:val="5"/>
    <w:autoRedefine/>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customStyle="1" w:styleId="28">
    <w:name w:val="样式3"/>
    <w:basedOn w:val="11"/>
    <w:autoRedefine/>
    <w:qFormat/>
    <w:uiPriority w:val="0"/>
    <w:pPr>
      <w:spacing w:line="0" w:lineRule="atLeast"/>
      <w:outlineLvl w:val="0"/>
    </w:pPr>
    <w:rPr>
      <w:sz w:val="28"/>
    </w:rPr>
  </w:style>
  <w:style w:type="character" w:customStyle="1" w:styleId="29">
    <w:name w:val="NormalCharacter"/>
    <w:autoRedefine/>
    <w:semiHidden/>
    <w:qFormat/>
    <w:uiPriority w:val="0"/>
    <w:rPr>
      <w:kern w:val="2"/>
      <w:sz w:val="21"/>
      <w:szCs w:val="24"/>
      <w:lang w:val="en-US" w:eastAsia="zh-CN" w:bidi="ar-SA"/>
    </w:rPr>
  </w:style>
  <w:style w:type="paragraph" w:customStyle="1" w:styleId="30">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 w:type="character" w:customStyle="1" w:styleId="36">
    <w:name w:val="font31"/>
    <w:basedOn w:val="22"/>
    <w:autoRedefine/>
    <w:qFormat/>
    <w:uiPriority w:val="0"/>
    <w:rPr>
      <w:rFonts w:hint="eastAsia" w:ascii="宋体" w:hAnsi="宋体" w:eastAsia="宋体" w:cs="宋体"/>
      <w:color w:val="000000"/>
      <w:sz w:val="22"/>
      <w:szCs w:val="22"/>
      <w:u w:val="none"/>
    </w:rPr>
  </w:style>
  <w:style w:type="paragraph" w:customStyle="1" w:styleId="37">
    <w:name w:val="Table Paragraph"/>
    <w:basedOn w:val="1"/>
    <w:autoRedefine/>
    <w:qFormat/>
    <w:uiPriority w:val="1"/>
    <w:pPr>
      <w:autoSpaceDE w:val="0"/>
      <w:autoSpaceDN w:val="0"/>
      <w:jc w:val="center"/>
    </w:pPr>
    <w:rPr>
      <w:rFonts w:ascii="宋体" w:hAnsi="宋体" w:cs="宋体"/>
      <w:kern w:val="0"/>
      <w:sz w:val="22"/>
      <w:szCs w:val="22"/>
      <w:lang w:val="zh-CN" w:bidi="zh-CN"/>
    </w:rPr>
  </w:style>
  <w:style w:type="character" w:customStyle="1" w:styleId="38">
    <w:name w:val="font11"/>
    <w:basedOn w:val="22"/>
    <w:autoRedefine/>
    <w:qFormat/>
    <w:uiPriority w:val="0"/>
    <w:rPr>
      <w:rFonts w:hint="eastAsia" w:ascii="仿宋" w:hAnsi="仿宋" w:eastAsia="仿宋" w:cs="仿宋"/>
      <w:color w:val="000000"/>
      <w:sz w:val="22"/>
      <w:szCs w:val="22"/>
      <w:u w:val="none"/>
    </w:rPr>
  </w:style>
  <w:style w:type="character" w:customStyle="1" w:styleId="39">
    <w:name w:val="font21"/>
    <w:basedOn w:val="22"/>
    <w:autoRedefine/>
    <w:qFormat/>
    <w:uiPriority w:val="0"/>
    <w:rPr>
      <w:rFonts w:hint="eastAsia" w:ascii="仿宋" w:hAnsi="仿宋" w:eastAsia="仿宋" w:cs="仿宋"/>
      <w:color w:val="000000"/>
      <w:sz w:val="24"/>
      <w:szCs w:val="24"/>
      <w:u w:val="none"/>
    </w:rPr>
  </w:style>
  <w:style w:type="character" w:customStyle="1" w:styleId="40">
    <w:name w:val="font41"/>
    <w:basedOn w:val="22"/>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23595</Words>
  <Characters>24609</Characters>
  <Lines>186</Lines>
  <Paragraphs>52</Paragraphs>
  <TotalTime>11</TotalTime>
  <ScaleCrop>false</ScaleCrop>
  <LinksUpToDate>false</LinksUpToDate>
  <CharactersWithSpaces>25333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2024-01-29T04:29:00Z</cp:lastPrinted>
  <dcterms:modified xsi:type="dcterms:W3CDTF">2024-04-08T07:09:07Z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26C1BB0CA2454AA780EB79143270D305_13</vt:lpwstr>
  </property>
</Properties>
</file>